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9B" w:rsidRDefault="00BE41AB" w:rsidP="00BE41A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BE41AB" w:rsidRDefault="00BE41AB" w:rsidP="00BE41A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Загальна теорія політики</w:t>
      </w:r>
    </w:p>
    <w:p w:rsidR="00BE41AB" w:rsidRDefault="00BE41AB" w:rsidP="00BE41A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Викладач: канд. політ. н., доцент кафедри політології</w:t>
      </w:r>
    </w:p>
    <w:p w:rsidR="009C276C" w:rsidRDefault="009C276C" w:rsidP="00BE41A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Москалюк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М.Ф.</w:t>
      </w:r>
    </w:p>
    <w:p w:rsidR="00A5729C" w:rsidRDefault="00A5729C" w:rsidP="00BE41A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Матеріали для самостійного читання</w:t>
      </w:r>
    </w:p>
    <w:p w:rsidR="00A5729C" w:rsidRDefault="00A5729C" w:rsidP="00A5729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Світа Л. Закони політичної науки // Вісник Львівського університету. Серія філософсько-політологічні студії. – 2012. – Вип. 2. – с. 57 – 64.</w:t>
      </w:r>
    </w:p>
    <w:p w:rsidR="009C276C" w:rsidRDefault="009C276C" w:rsidP="00A5729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Інституційні зміни політичної системи сучасної України: оцінка стану та напрями оптимізації: аналітична доповідь / За ред. д. політ. н., Г.І.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Зеленько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– К.: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ІПіЕНД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ім. І.Ф. Кураса НАН України, 2011. – 164 с.</w:t>
      </w:r>
    </w:p>
    <w:p w:rsidR="009C276C" w:rsidRDefault="006D38B8" w:rsidP="00A5729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Кармазіна М. Українська багатопартійність: становлення і розвиток // Наукові записки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ІПіЕНД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ім.. І.Ф. Кураса НАН України. – 2012. – Вип. 3(59). – с. 4 – 87.</w:t>
      </w:r>
    </w:p>
    <w:p w:rsidR="006D38B8" w:rsidRDefault="006D38B8" w:rsidP="00A5729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Фоломеєв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М.А. Політичні актори як дійові сили політичного процесу: проблема концептуалізації // Вісник Дніпропетров</w:t>
      </w:r>
      <w:r w:rsidR="00C376BF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ького університету</w:t>
      </w:r>
      <w:r w:rsidR="00C376BF">
        <w:rPr>
          <w:rFonts w:ascii="Times New Roman" w:hAnsi="Times New Roman" w:cs="Times New Roman"/>
          <w:sz w:val="28"/>
          <w:szCs w:val="28"/>
          <w:lang w:val="uk-UA"/>
        </w:rPr>
        <w:t>. – 2012. – Вип.22(3). – с.200. – 206.</w:t>
      </w:r>
    </w:p>
    <w:p w:rsidR="00DB2B14" w:rsidRPr="00A5729C" w:rsidRDefault="00DB2B14" w:rsidP="00A5729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Кукарцев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Реформування механізмів парламентського представництва регіонів в сучасній Україні // Українська національна ідея: реалії та перспективи розвитку. – 2011. – Вип. 23. – с. 90 – 97.</w:t>
      </w:r>
    </w:p>
    <w:sectPr w:rsidR="00DB2B14" w:rsidRPr="00A5729C" w:rsidSect="00454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04AED"/>
    <w:multiLevelType w:val="hybridMultilevel"/>
    <w:tmpl w:val="A20A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41AB"/>
    <w:rsid w:val="0002020D"/>
    <w:rsid w:val="00191BD1"/>
    <w:rsid w:val="0045429B"/>
    <w:rsid w:val="006D38B8"/>
    <w:rsid w:val="007A79B4"/>
    <w:rsid w:val="009C276C"/>
    <w:rsid w:val="00A5729C"/>
    <w:rsid w:val="00BE41AB"/>
    <w:rsid w:val="00C376BF"/>
    <w:rsid w:val="00DB2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2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2017-11-09T10:02:00Z</dcterms:created>
  <dcterms:modified xsi:type="dcterms:W3CDTF">2017-11-09T16:27:00Z</dcterms:modified>
</cp:coreProperties>
</file>