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DC8" w:rsidRDefault="000B1F3A">
      <w:pPr>
        <w:spacing w:after="0" w:line="342" w:lineRule="auto"/>
        <w:ind w:left="340" w:right="0" w:firstLine="1422"/>
        <w:jc w:val="left"/>
      </w:pPr>
      <w:r>
        <w:rPr>
          <w:i/>
          <w:sz w:val="20"/>
        </w:rPr>
        <w:t xml:space="preserve">Розділ 5. Методика початкового навчання і дошкільного виховання </w:t>
      </w:r>
      <w:r>
        <w:rPr>
          <w:rFonts w:ascii="Calibri" w:eastAsia="Calibri" w:hAnsi="Calibri" w:cs="Calibri"/>
          <w:sz w:val="31"/>
          <w:vertAlign w:val="subscript"/>
        </w:rPr>
        <w:t xml:space="preserve">315 </w:t>
      </w:r>
      <w:r>
        <w:rPr>
          <w:b/>
          <w:sz w:val="26"/>
        </w:rPr>
        <w:t>УДК 376</w:t>
      </w:r>
    </w:p>
    <w:p w:rsidR="00423DC8" w:rsidRDefault="000B1F3A">
      <w:pPr>
        <w:pStyle w:val="1"/>
      </w:pPr>
      <w:r>
        <w:t>Кузава І.</w:t>
      </w:r>
      <w:r>
        <w:t xml:space="preserve"> </w:t>
      </w:r>
      <w:r>
        <w:t>Б.</w:t>
      </w:r>
      <w:r>
        <w:rPr>
          <w:sz w:val="24"/>
          <w:vertAlign w:val="superscript"/>
        </w:rPr>
        <w:t>*</w:t>
      </w:r>
    </w:p>
    <w:p w:rsidR="00423DC8" w:rsidRDefault="000B1F3A">
      <w:pPr>
        <w:spacing w:after="0" w:line="259" w:lineRule="auto"/>
        <w:ind w:left="10" w:right="7" w:hanging="10"/>
        <w:jc w:val="center"/>
      </w:pPr>
      <w:r>
        <w:rPr>
          <w:b/>
          <w:sz w:val="31"/>
        </w:rPr>
        <w:t xml:space="preserve">РОЛЬ ІНКЛЮЗИВНОГО СЕРЕДОВИЩА У фОРМУВАННІ </w:t>
      </w:r>
    </w:p>
    <w:p w:rsidR="00423DC8" w:rsidRDefault="000B1F3A">
      <w:pPr>
        <w:spacing w:after="0" w:line="259" w:lineRule="auto"/>
        <w:ind w:left="251" w:right="0" w:firstLine="0"/>
        <w:jc w:val="left"/>
      </w:pPr>
      <w:r>
        <w:rPr>
          <w:b/>
          <w:sz w:val="31"/>
        </w:rPr>
        <w:t>ОСОБИСТОСТІ ДОШКІЛЬНИКІВ, ЯКІ ПОТРЕБУЮТЬ КОРЕК</w:t>
      </w:r>
      <w:r w:rsidR="00F00E9D">
        <w:rPr>
          <w:b/>
          <w:sz w:val="31"/>
          <w:lang w:val="uk-UA"/>
        </w:rPr>
        <w:t>Ц</w:t>
      </w:r>
      <w:r>
        <w:rPr>
          <w:b/>
          <w:sz w:val="31"/>
        </w:rPr>
        <w:t xml:space="preserve">ІЇ </w:t>
      </w:r>
    </w:p>
    <w:p w:rsidR="00423DC8" w:rsidRDefault="000B1F3A">
      <w:pPr>
        <w:spacing w:after="59" w:line="259" w:lineRule="auto"/>
        <w:ind w:left="10" w:right="7" w:hanging="10"/>
        <w:jc w:val="center"/>
      </w:pPr>
      <w:r>
        <w:rPr>
          <w:b/>
          <w:sz w:val="31"/>
        </w:rPr>
        <w:t>ПСИХОфІЗИЧНОГО РОЗВИТКУ</w:t>
      </w:r>
    </w:p>
    <w:p w:rsidR="00423DC8" w:rsidRPr="00F00E9D" w:rsidRDefault="000B1F3A">
      <w:pPr>
        <w:spacing w:after="284" w:line="248" w:lineRule="auto"/>
        <w:ind w:left="268" w:right="0" w:firstLine="217"/>
        <w:rPr>
          <w:lang w:val="uk-UA"/>
        </w:rPr>
      </w:pPr>
      <w:r w:rsidRPr="00F00E9D">
        <w:rPr>
          <w:i/>
          <w:sz w:val="24"/>
          <w:lang w:val="uk-UA"/>
        </w:rPr>
        <w:t xml:space="preserve">У статті розкриваються особливості інклюзивного середовища та його роль у формуванні особистості дошкільників, які потребують корекції психофізичного розвитку. </w:t>
      </w:r>
      <w:r w:rsidRPr="00F00E9D">
        <w:rPr>
          <w:b/>
          <w:i/>
          <w:sz w:val="24"/>
          <w:lang w:val="uk-UA"/>
        </w:rPr>
        <w:t>Ключові слова:</w:t>
      </w:r>
      <w:r w:rsidRPr="00F00E9D">
        <w:rPr>
          <w:i/>
          <w:sz w:val="24"/>
          <w:lang w:val="uk-UA"/>
        </w:rPr>
        <w:t xml:space="preserve"> інклюзія, середовище, інклюзивне середовище.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На сучасному етапі розвитку освіти в</w:t>
      </w:r>
      <w:r w:rsidRPr="00F00E9D">
        <w:rPr>
          <w:lang w:val="uk-UA"/>
        </w:rPr>
        <w:t xml:space="preserve"> Україні одним із можливих варіантів включення дитини з психофізичними порушеннями у загальноосвітній простір є </w:t>
      </w:r>
      <w:r w:rsidRPr="00F00E9D">
        <w:rPr>
          <w:b/>
          <w:lang w:val="uk-UA"/>
        </w:rPr>
        <w:t>інклюзія</w:t>
      </w:r>
      <w:r w:rsidRPr="00F00E9D">
        <w:rPr>
          <w:lang w:val="uk-UA"/>
        </w:rPr>
        <w:t>, яка означає, що дитині з обмеженими можливостями надається право відвідувати загальноосвітній заклад, у якому створене необхідне адапт</w:t>
      </w:r>
      <w:r w:rsidRPr="00F00E9D">
        <w:rPr>
          <w:lang w:val="uk-UA"/>
        </w:rPr>
        <w:t>оване освітнє середовище та надаються відповідні додаткові послуги, що приносять користь від спільного їх навчання зі здоровими однолітками. Поширення інклюзії тісно пов’язане з процесами демократизації суспільної свідомості, міжнародним визнанням за кожно</w:t>
      </w:r>
      <w:r w:rsidRPr="00F00E9D">
        <w:rPr>
          <w:lang w:val="uk-UA"/>
        </w:rPr>
        <w:t>ю людиною права на повноцінне життя та освіту.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Впровадження інклюзивного навчання дошкільників, які потребують корекції психофізичного розвитку, передбачає створення для них спеціального освітнього середовища (оточення), яке б відповідало потребам і можлив</w:t>
      </w:r>
      <w:r w:rsidRPr="00F00E9D">
        <w:rPr>
          <w:lang w:val="uk-UA"/>
        </w:rPr>
        <w:t>остям кожної дитини та забезпечило б адекватні умови й можливості для отримання нею освіти в межах спеціальних освітніх стандартів, лікування та оздоровлення, виховання та навчання, корекції порушень психофізичного розвитку, ранньої соціалізації.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У вітчизн</w:t>
      </w:r>
      <w:r w:rsidRPr="00F00E9D">
        <w:rPr>
          <w:lang w:val="uk-UA"/>
        </w:rPr>
        <w:t>яній та зарубіжній психолого-педагогічній науці існує досить чітке уявлення про середовище ( І. Д. Бех, Є. В. Бондаревська, Дж. Гібсон, К. Князева, С. Капиця, І. Пригожин, І. Стенгерс, В.А. Ясвін та ін.). Зокрема, згідно з системно-екологічним підходом, се</w:t>
      </w:r>
      <w:r w:rsidRPr="00F00E9D">
        <w:rPr>
          <w:lang w:val="uk-UA"/>
        </w:rPr>
        <w:t xml:space="preserve">редовище або соціальне оточення розглядається як системне об’єднання сукупності різноманітних факторів, які взаємодіють один з одним та утворюють сукупність системного характеру [3, с. 23]. 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У загальній педагогіці під «освітнім середовищем» розуміють систе</w:t>
      </w:r>
      <w:r w:rsidRPr="00F00E9D">
        <w:rPr>
          <w:lang w:val="uk-UA"/>
        </w:rPr>
        <w:t>му впливів і умов формування особистості, а також можливості для її розвитку, які містяться в соціальному і просторово-предметному оточенні [6, с. 17 ].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У спеціальній педагогіці поширене поняття «корекційне середовище»,</w:t>
      </w:r>
      <w:r w:rsidRPr="00F00E9D">
        <w:rPr>
          <w:b/>
          <w:i/>
          <w:lang w:val="uk-UA"/>
        </w:rPr>
        <w:t xml:space="preserve"> </w:t>
      </w:r>
      <w:r w:rsidRPr="00F00E9D">
        <w:rPr>
          <w:lang w:val="uk-UA"/>
        </w:rPr>
        <w:t>під яким</w:t>
      </w:r>
      <w:r w:rsidRPr="00F00E9D">
        <w:rPr>
          <w:b/>
          <w:i/>
          <w:lang w:val="uk-UA"/>
        </w:rPr>
        <w:t xml:space="preserve"> </w:t>
      </w:r>
      <w:r w:rsidRPr="00F00E9D">
        <w:rPr>
          <w:lang w:val="uk-UA"/>
        </w:rPr>
        <w:t>розуміють системне об`єднан</w:t>
      </w:r>
      <w:r w:rsidRPr="00F00E9D">
        <w:rPr>
          <w:lang w:val="uk-UA"/>
        </w:rPr>
        <w:t>ня медичних, психолого-педагогічних і соціальних служб, що сприяють саморегуляції поведінки, самореабілітації, розвитку і саморозвитку особистості [4]</w:t>
      </w:r>
      <w:r w:rsidRPr="00F00E9D">
        <w:rPr>
          <w:lang w:val="uk-UA"/>
        </w:rPr>
        <w:t>.</w:t>
      </w:r>
      <w:r w:rsidRPr="00F00E9D">
        <w:rPr>
          <w:i/>
          <w:lang w:val="uk-UA"/>
        </w:rPr>
        <w:t xml:space="preserve"> </w:t>
      </w:r>
      <w:r w:rsidRPr="00F00E9D">
        <w:rPr>
          <w:lang w:val="uk-UA"/>
        </w:rPr>
        <w:t>Його</w:t>
      </w:r>
      <w:r w:rsidRPr="00F00E9D">
        <w:rPr>
          <w:i/>
          <w:lang w:val="uk-UA"/>
        </w:rPr>
        <w:t xml:space="preserve"> метою</w:t>
      </w:r>
      <w:r w:rsidRPr="00F00E9D">
        <w:rPr>
          <w:lang w:val="uk-UA"/>
        </w:rPr>
        <w:t xml:space="preserve"> є забезпечення умов для максимально можливої корекції та компенсації окремої чи комбінованої </w:t>
      </w:r>
      <w:r w:rsidRPr="00F00E9D">
        <w:rPr>
          <w:lang w:val="uk-UA"/>
        </w:rPr>
        <w:t>вади, здійснення профілактичних заходів через залучення кожної дитини до спеціально створеного реабілітаційного, розвивального та соціально-культурного середовища ДНЗ. Однак, як свідчить досвід, не завжди корекційне середовище може відповідати запитам бать</w:t>
      </w:r>
      <w:r w:rsidRPr="00F00E9D">
        <w:rPr>
          <w:lang w:val="uk-UA"/>
        </w:rPr>
        <w:t>ків щодо соціалізації дошкільників, які потребують корекції психофізичного розвитку. Тому постає завдання удосконалення цього середовища шляхом створення системи інклюзивної освіти, яка передбачає поєднання загальної та спеціальної освіти (наприклад, спіль</w:t>
      </w:r>
      <w:r w:rsidRPr="00F00E9D">
        <w:rPr>
          <w:lang w:val="uk-UA"/>
        </w:rPr>
        <w:t>на продуктивна діяльність дітей із психофізичними порушеннями та їх здорових однолітків тощо).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lastRenderedPageBreak/>
        <w:t>Мета статті – розкриття особливостей інклюзивного середовища, його змісту, структури та обґрунтування його ролі у формуванні особистості дошкільників, які потреб</w:t>
      </w:r>
      <w:r w:rsidRPr="00F00E9D">
        <w:rPr>
          <w:lang w:val="uk-UA"/>
        </w:rPr>
        <w:t>ують корекції психофізичного розвитку</w:t>
      </w:r>
      <w:r w:rsidRPr="00F00E9D">
        <w:rPr>
          <w:lang w:val="uk-UA"/>
        </w:rPr>
        <w:t>.</w:t>
      </w:r>
    </w:p>
    <w:p w:rsidR="00423DC8" w:rsidRPr="00F00E9D" w:rsidRDefault="000B1F3A">
      <w:pPr>
        <w:spacing w:after="22" w:line="259" w:lineRule="auto"/>
        <w:ind w:right="0" w:firstLine="0"/>
        <w:jc w:val="left"/>
        <w:rPr>
          <w:lang w:val="uk-UA"/>
        </w:rPr>
      </w:pPr>
      <w:r w:rsidRPr="00F00E9D">
        <w:rPr>
          <w:rFonts w:ascii="Calibri" w:eastAsia="Calibri" w:hAnsi="Calibri" w:cs="Calibri"/>
          <w:noProof/>
          <w:color w:val="000000"/>
          <w:sz w:val="22"/>
          <w:lang w:val="uk-UA"/>
        </w:rPr>
        <mc:AlternateContent>
          <mc:Choice Requires="wpg">
            <w:drawing>
              <wp:inline distT="0" distB="0" distL="0" distR="0">
                <wp:extent cx="914400" cy="12700"/>
                <wp:effectExtent l="0" t="0" r="0" b="0"/>
                <wp:docPr id="2250" name="Group 2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700"/>
                          <a:chOff x="0" y="0"/>
                          <a:chExt cx="914400" cy="12700"/>
                        </a:xfrm>
                      </wpg:grpSpPr>
                      <wps:wsp>
                        <wps:cNvPr id="70" name="Shape 70"/>
                        <wps:cNvSpPr/>
                        <wps:spPr>
                          <a:xfrm>
                            <a:off x="0" y="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C1C1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50" style="width:72pt;height:1pt;mso-position-horizontal-relative:char;mso-position-vertical-relative:line" coordsize="9144,127">
                <v:shape id="Shape 70" style="position:absolute;width:9144;height:0;left:0;top:0;" coordsize="914400,0" path="m0,0l914400,0">
                  <v:stroke weight="1pt" endcap="flat" joinstyle="miter" miterlimit="10" on="true" color="#1c1c1b"/>
                  <v:fill on="false" color="#000000" opacity="0"/>
                </v:shape>
              </v:group>
            </w:pict>
          </mc:Fallback>
        </mc:AlternateContent>
      </w:r>
    </w:p>
    <w:p w:rsidR="00423DC8" w:rsidRPr="00F00E9D" w:rsidRDefault="000B1F3A">
      <w:pPr>
        <w:tabs>
          <w:tab w:val="center" w:pos="1377"/>
        </w:tabs>
        <w:spacing w:after="0" w:line="259" w:lineRule="auto"/>
        <w:ind w:right="0" w:firstLine="0"/>
        <w:jc w:val="left"/>
        <w:rPr>
          <w:lang w:val="uk-UA"/>
        </w:rPr>
      </w:pPr>
      <w:r w:rsidRPr="00F00E9D">
        <w:rPr>
          <w:i/>
          <w:lang w:val="uk-UA"/>
        </w:rPr>
        <w:t xml:space="preserve">*  © </w:t>
      </w:r>
      <w:r w:rsidRPr="00F00E9D">
        <w:rPr>
          <w:i/>
          <w:lang w:val="uk-UA"/>
        </w:rPr>
        <w:tab/>
        <w:t>Кузава І. Б., 2012</w:t>
      </w:r>
    </w:p>
    <w:p w:rsidR="00423DC8" w:rsidRPr="00F00E9D" w:rsidRDefault="000B1F3A">
      <w:pPr>
        <w:tabs>
          <w:tab w:val="center" w:pos="4779"/>
        </w:tabs>
        <w:spacing w:after="161" w:line="259" w:lineRule="auto"/>
        <w:ind w:left="-15" w:right="0" w:firstLine="0"/>
        <w:jc w:val="left"/>
        <w:rPr>
          <w:lang w:val="uk-UA"/>
        </w:rPr>
      </w:pPr>
      <w:r w:rsidRPr="00F00E9D">
        <w:rPr>
          <w:rFonts w:ascii="Calibri" w:eastAsia="Calibri" w:hAnsi="Calibri" w:cs="Calibri"/>
          <w:sz w:val="20"/>
          <w:lang w:val="uk-UA"/>
        </w:rPr>
        <w:t>316</w:t>
      </w:r>
      <w:r w:rsidRPr="00F00E9D">
        <w:rPr>
          <w:rFonts w:ascii="Calibri" w:eastAsia="Calibri" w:hAnsi="Calibri" w:cs="Calibri"/>
          <w:sz w:val="20"/>
          <w:lang w:val="uk-UA"/>
        </w:rPr>
        <w:tab/>
      </w:r>
      <w:r w:rsidRPr="00F00E9D">
        <w:rPr>
          <w:i/>
          <w:sz w:val="20"/>
          <w:lang w:val="uk-UA"/>
        </w:rPr>
        <w:t>Збірник наукових праць. Випуск 11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Створення</w:t>
      </w:r>
      <w:r w:rsidRPr="00F00E9D">
        <w:rPr>
          <w:b/>
          <w:lang w:val="uk-UA"/>
        </w:rPr>
        <w:t xml:space="preserve"> </w:t>
      </w:r>
      <w:r w:rsidRPr="00F00E9D">
        <w:rPr>
          <w:lang w:val="uk-UA"/>
        </w:rPr>
        <w:t>інклюзивного середовища, в якому всі діти мають можливість брати активну участь в освітньому процесі, одержувати якісну освіту та успішно інтегруватись у суспільство, є ключовою проблемою ЮНЕСКО (Програма «Освіта для всіх»).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Для розгляду сутнісної характер</w:t>
      </w:r>
      <w:r w:rsidRPr="00F00E9D">
        <w:rPr>
          <w:lang w:val="uk-UA"/>
        </w:rPr>
        <w:t>истики інклюзивного середовища звернемось до аналізу понять «інклюзія» та «середовище».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Ідея спільного навчання і виховання дітей із психофізичними порушеннями та їх здорових однолітків в одному закладі належить визначному психологу, дефектологу ХХ столітт</w:t>
      </w:r>
      <w:r w:rsidRPr="00F00E9D">
        <w:rPr>
          <w:lang w:val="uk-UA"/>
        </w:rPr>
        <w:t>я Л. С. Виготському. Його проектна ідея – вчення про середовище як джерело психічного розвитку особистості. [1]. Він вважав, що дитина, яка потребує корекції психофізичного розвитку, потребує такого соціокультурного середовища, яке б враховувало «своєрідні</w:t>
      </w:r>
      <w:r w:rsidRPr="00F00E9D">
        <w:rPr>
          <w:lang w:val="uk-UA"/>
        </w:rPr>
        <w:t>сть шляху», використовуючи «інші способи та засоби» соціального та особистісного розвитку [1, с. 17]. Однак, реальне впровадження спільного навчання протягом останніх десятиліть відбувається за кордоном. Зокрема, про це свідчить поява такого терміну як «ін</w:t>
      </w:r>
      <w:r w:rsidRPr="00F00E9D">
        <w:rPr>
          <w:lang w:val="uk-UA"/>
        </w:rPr>
        <w:t xml:space="preserve">клюзія», що в буквальному розумінні означає (англ. </w:t>
      </w:r>
      <w:r w:rsidRPr="00F00E9D">
        <w:rPr>
          <w:i/>
          <w:lang w:val="uk-UA"/>
        </w:rPr>
        <w:t>inclusion</w:t>
      </w:r>
      <w:r w:rsidRPr="00F00E9D">
        <w:rPr>
          <w:lang w:val="uk-UA"/>
        </w:rPr>
        <w:t xml:space="preserve"> – включення, франц. </w:t>
      </w:r>
      <w:r w:rsidRPr="00F00E9D">
        <w:rPr>
          <w:i/>
          <w:lang w:val="uk-UA"/>
        </w:rPr>
        <w:t>іnclusif</w:t>
      </w:r>
      <w:r w:rsidRPr="00F00E9D">
        <w:rPr>
          <w:lang w:val="uk-UA"/>
        </w:rPr>
        <w:t xml:space="preserve"> – включаючий в себе, лат. </w:t>
      </w:r>
      <w:r w:rsidRPr="00F00E9D">
        <w:rPr>
          <w:i/>
          <w:lang w:val="uk-UA"/>
        </w:rPr>
        <w:t>іnclude</w:t>
      </w:r>
      <w:r w:rsidRPr="00F00E9D">
        <w:rPr>
          <w:lang w:val="uk-UA"/>
        </w:rPr>
        <w:t xml:space="preserve"> – заключаю, включаю) – процес реального включення всіх громадян, які мають труднощі у психофізичному розвитку, в активне суспільне ж</w:t>
      </w:r>
      <w:r w:rsidRPr="00F00E9D">
        <w:rPr>
          <w:lang w:val="uk-UA"/>
        </w:rPr>
        <w:t>иття [2].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 xml:space="preserve">Важливе значення в теорії інклюзивної освіти займає діагностичне вивчення впливу середовища на розвиток дитини з психофізичними порушеннями. Адже кожен учасник інклюзії потребує створення умов для свого розвитку та освіти. З одного боку, здорові </w:t>
      </w:r>
      <w:r w:rsidRPr="00F00E9D">
        <w:rPr>
          <w:lang w:val="uk-UA"/>
        </w:rPr>
        <w:t xml:space="preserve">діти повинні навчитись приймати «особливих» однолітків, а з іншого – для дітей із обмеженими можливостями здоров’я мають бути створені спеціальні умови їх розвитку та освіти в інклюзивному середовищі. 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Забезпечення повноцінного розвитку дитини передбачає є</w:t>
      </w:r>
      <w:r w:rsidRPr="00F00E9D">
        <w:rPr>
          <w:lang w:val="uk-UA"/>
        </w:rPr>
        <w:t>дність предметно-розвивального середовища та змістовного спілкування дорослих з дітьми. Тобто, середовище призводить до дійсних змін у людині, сприяє її особистісному розвитку. Тому дуже важливо управляти процесом взаємодії з середовищем, оптимально викори</w:t>
      </w:r>
      <w:r w:rsidRPr="00F00E9D">
        <w:rPr>
          <w:lang w:val="uk-UA"/>
        </w:rPr>
        <w:t xml:space="preserve">стовуючи його потенціал, що є актуальним і в процесі створення та діяльності інклюзивного середовища, що сприятиме ефективному включенню вихованців, які потребують корекції психофізичного розвитку, реалізації своїх потенційних здібностей. у суспільство. 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О</w:t>
      </w:r>
      <w:r w:rsidRPr="00F00E9D">
        <w:rPr>
          <w:lang w:val="uk-UA"/>
        </w:rPr>
        <w:t>днак, слід пам’ятати, що дитина з психофізичними вадами не може раптово включатись в освітнє середовище, оскільки інклюзивна освіта орієнтована на спільну діяльність батьків, вихователів, психологів і т.д. Крім того, інклюзивне середовище не повинне «нав’я</w:t>
      </w:r>
      <w:r w:rsidRPr="00F00E9D">
        <w:rPr>
          <w:lang w:val="uk-UA"/>
        </w:rPr>
        <w:t>зуватись» освітньому закладу чиїмось рішенням, адже потребує комплексної готовності матеріальнотехнічних умов, людських та професійних взаємостосунків.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Як зазначає Т. Г. Зубарєва, інклюзивне освітнє середовище характеризується системою ціннісного ставлення</w:t>
      </w:r>
      <w:r w:rsidRPr="00F00E9D">
        <w:rPr>
          <w:lang w:val="uk-UA"/>
        </w:rPr>
        <w:t xml:space="preserve"> до навчання, виховання і особистісного розвитку дітей з особливими освітніми потребами, а також сукупністю ресурсів (засобів, зовнішніх і внутрішніх умов), їх життєдіяльності в загальноосвітньому навчальному </w:t>
      </w:r>
      <w:r w:rsidRPr="00F00E9D">
        <w:rPr>
          <w:lang w:val="uk-UA"/>
        </w:rPr>
        <w:lastRenderedPageBreak/>
        <w:t>закладі і спрямованістю на реалізацію індивідуа</w:t>
      </w:r>
      <w:r w:rsidRPr="00F00E9D">
        <w:rPr>
          <w:lang w:val="uk-UA"/>
        </w:rPr>
        <w:t xml:space="preserve">льних освітніх стратегій вихованців [ 3, с. 22]. 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Практика засвідчує, що взаємодія дітей, які потребують корекції психофізичного розвитку, зі здоровими однолітками сприяє їхньому когнітивному, фізичному, мовному, соціальному та емоційному розвитку. При цьо</w:t>
      </w:r>
      <w:r w:rsidRPr="00F00E9D">
        <w:rPr>
          <w:lang w:val="uk-UA"/>
        </w:rPr>
        <w:t>му діти з типовим рівнем розвитку демонструють відповідні моделі поведінки дітям з особливими освітніми потребами і мотивують їх до цілеспрямованого використання нових знань і вмінь. В інклюзивних групах взаємодія між вихованцями з особливими освітніми пот</w:t>
      </w:r>
      <w:r w:rsidRPr="00F00E9D">
        <w:rPr>
          <w:lang w:val="uk-UA"/>
        </w:rPr>
        <w:t>ребами та їх здоровими однолітками сприяє налагодженню між ними дружніх стосунків, внаслідок чого діти вчаться природно сприймати і толерантно ставитися до людських відмінностей, стають більш чуйними, готовими до допомоги.</w:t>
      </w:r>
    </w:p>
    <w:p w:rsidR="00423DC8" w:rsidRPr="00F00E9D" w:rsidRDefault="000B1F3A">
      <w:pPr>
        <w:tabs>
          <w:tab w:val="center" w:pos="4623"/>
          <w:tab w:val="right" w:pos="9080"/>
        </w:tabs>
        <w:spacing w:after="27" w:line="259" w:lineRule="auto"/>
        <w:ind w:right="0" w:firstLine="0"/>
        <w:jc w:val="left"/>
        <w:rPr>
          <w:lang w:val="uk-UA"/>
        </w:rPr>
      </w:pPr>
      <w:r w:rsidRPr="00F00E9D">
        <w:rPr>
          <w:rFonts w:ascii="Calibri" w:eastAsia="Calibri" w:hAnsi="Calibri" w:cs="Calibri"/>
          <w:color w:val="000000"/>
          <w:sz w:val="22"/>
          <w:lang w:val="uk-UA"/>
        </w:rPr>
        <w:tab/>
      </w:r>
      <w:r w:rsidRPr="00F00E9D">
        <w:rPr>
          <w:i/>
          <w:sz w:val="20"/>
          <w:lang w:val="uk-UA"/>
        </w:rPr>
        <w:t>Розділ 5. Методика початкового н</w:t>
      </w:r>
      <w:r w:rsidRPr="00F00E9D">
        <w:rPr>
          <w:i/>
          <w:sz w:val="20"/>
          <w:lang w:val="uk-UA"/>
        </w:rPr>
        <w:t>авчання і дошкільного виховання</w:t>
      </w:r>
      <w:r w:rsidRPr="00F00E9D">
        <w:rPr>
          <w:i/>
          <w:sz w:val="20"/>
          <w:lang w:val="uk-UA"/>
        </w:rPr>
        <w:tab/>
      </w:r>
      <w:r w:rsidRPr="00F00E9D">
        <w:rPr>
          <w:rFonts w:ascii="Calibri" w:eastAsia="Calibri" w:hAnsi="Calibri" w:cs="Calibri"/>
          <w:sz w:val="31"/>
          <w:vertAlign w:val="subscript"/>
          <w:lang w:val="uk-UA"/>
        </w:rPr>
        <w:t>317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 xml:space="preserve">Головне </w:t>
      </w:r>
      <w:r w:rsidRPr="00F00E9D">
        <w:rPr>
          <w:i/>
          <w:lang w:val="uk-UA"/>
        </w:rPr>
        <w:t xml:space="preserve">завдання </w:t>
      </w:r>
      <w:r w:rsidRPr="00F00E9D">
        <w:rPr>
          <w:lang w:val="uk-UA"/>
        </w:rPr>
        <w:t>інклюзивного середовища полягає у подоланні відхилень у розвитку вихованця з особливими потребами та профілактиці небажаних негативних тенденцій.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 xml:space="preserve">Провідним </w:t>
      </w:r>
      <w:r w:rsidRPr="00F00E9D">
        <w:rPr>
          <w:i/>
          <w:lang w:val="uk-UA"/>
        </w:rPr>
        <w:t>принципом інклюзивного середовища</w:t>
      </w:r>
      <w:r w:rsidRPr="00F00E9D">
        <w:rPr>
          <w:lang w:val="uk-UA"/>
        </w:rPr>
        <w:t xml:space="preserve"> є його готовн</w:t>
      </w:r>
      <w:r w:rsidRPr="00F00E9D">
        <w:rPr>
          <w:lang w:val="uk-UA"/>
        </w:rPr>
        <w:t>ість пристосовуватись до індивідуальних потреб різних категорій дітей за рахунок структурно-функціональної, змістовної та технологічної модернізації освітньої системи закладу, здійснення індивідуального підходу, гуманні стосунки з кожною дитиною, проведенн</w:t>
      </w:r>
      <w:r w:rsidRPr="00F00E9D">
        <w:rPr>
          <w:lang w:val="uk-UA"/>
        </w:rPr>
        <w:t xml:space="preserve">я занять у формі ігрової діяльності. </w:t>
      </w:r>
    </w:p>
    <w:p w:rsidR="00423DC8" w:rsidRPr="00F00E9D" w:rsidRDefault="000B1F3A">
      <w:pPr>
        <w:ind w:left="-14" w:right="0" w:firstLine="0"/>
        <w:rPr>
          <w:lang w:val="uk-UA"/>
        </w:rPr>
      </w:pPr>
      <w:r w:rsidRPr="00F00E9D">
        <w:rPr>
          <w:lang w:val="uk-UA"/>
        </w:rPr>
        <w:t>[ 3, с. 12].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 xml:space="preserve">Сучасними зарубіжними ученими (Є. Л. Гончарова, Т. Г. Зубарєва, О. І. Кукушкіна, М. М. Малофєєв, О. С. Нікольська, Н. Д. Шматко,) визначено основні </w:t>
      </w:r>
      <w:r w:rsidRPr="00F00E9D">
        <w:rPr>
          <w:i/>
          <w:lang w:val="uk-UA"/>
        </w:rPr>
        <w:t>ознаки інклюзивного середовища</w:t>
      </w:r>
      <w:r w:rsidRPr="00F00E9D">
        <w:rPr>
          <w:lang w:val="uk-UA"/>
        </w:rPr>
        <w:t>:</w:t>
      </w:r>
    </w:p>
    <w:p w:rsidR="00423DC8" w:rsidRPr="00F00E9D" w:rsidRDefault="000B1F3A">
      <w:pPr>
        <w:numPr>
          <w:ilvl w:val="0"/>
          <w:numId w:val="1"/>
        </w:numPr>
        <w:ind w:right="0" w:hanging="340"/>
        <w:rPr>
          <w:lang w:val="uk-UA"/>
        </w:rPr>
      </w:pPr>
      <w:r w:rsidRPr="00F00E9D">
        <w:rPr>
          <w:lang w:val="uk-UA"/>
        </w:rPr>
        <w:t>культивування системи цін</w:t>
      </w:r>
      <w:r w:rsidRPr="00F00E9D">
        <w:rPr>
          <w:lang w:val="uk-UA"/>
        </w:rPr>
        <w:t>нісного ставлення до навчання, виховання та особистісного розвитку дітей з психофізичними порушеннями, наявність ресурсного забезпечення їх життєдіяльності (нормативно-правові, програмно-методичні, інформаційні, матеріальнотехнічні тощо), спрямовані на реа</w:t>
      </w:r>
      <w:r w:rsidRPr="00F00E9D">
        <w:rPr>
          <w:lang w:val="uk-UA"/>
        </w:rPr>
        <w:t>лізацію їх індивідуальних здібностей;</w:t>
      </w:r>
    </w:p>
    <w:p w:rsidR="00423DC8" w:rsidRPr="00F00E9D" w:rsidRDefault="000B1F3A">
      <w:pPr>
        <w:numPr>
          <w:ilvl w:val="0"/>
          <w:numId w:val="1"/>
        </w:numPr>
        <w:ind w:right="0" w:hanging="340"/>
        <w:rPr>
          <w:lang w:val="uk-UA"/>
        </w:rPr>
      </w:pPr>
      <w:r w:rsidRPr="00F00E9D">
        <w:rPr>
          <w:lang w:val="uk-UA"/>
        </w:rPr>
        <w:t xml:space="preserve">визначення та реалізація </w:t>
      </w:r>
      <w:r w:rsidRPr="00F00E9D">
        <w:rPr>
          <w:i/>
          <w:lang w:val="uk-UA"/>
        </w:rPr>
        <w:t>філософії інклюзії</w:t>
      </w:r>
      <w:r w:rsidRPr="00F00E9D">
        <w:rPr>
          <w:lang w:val="uk-UA"/>
        </w:rPr>
        <w:t xml:space="preserve">, </w:t>
      </w:r>
      <w:r w:rsidRPr="00F00E9D">
        <w:rPr>
          <w:i/>
          <w:lang w:val="uk-UA"/>
        </w:rPr>
        <w:t>ролі освітнього закладу</w:t>
      </w:r>
      <w:r w:rsidRPr="00F00E9D">
        <w:rPr>
          <w:lang w:val="uk-UA"/>
        </w:rPr>
        <w:t xml:space="preserve"> у галузі важливих функцій інклюзивної діяльності, </w:t>
      </w:r>
      <w:r w:rsidRPr="00F00E9D">
        <w:rPr>
          <w:i/>
          <w:lang w:val="uk-UA"/>
        </w:rPr>
        <w:t xml:space="preserve">загальних підходів та принципів життєдіяльності </w:t>
      </w:r>
      <w:r w:rsidRPr="00F00E9D">
        <w:rPr>
          <w:lang w:val="uk-UA"/>
        </w:rPr>
        <w:t xml:space="preserve">вихованців з обмеженими можливостями здоров’я щодо </w:t>
      </w:r>
      <w:r w:rsidRPr="00F00E9D">
        <w:rPr>
          <w:lang w:val="uk-UA"/>
        </w:rPr>
        <w:t xml:space="preserve">здійснення завдань інклюзивної освіти, а також оптимальної </w:t>
      </w:r>
      <w:r w:rsidRPr="00F00E9D">
        <w:rPr>
          <w:i/>
          <w:lang w:val="uk-UA"/>
        </w:rPr>
        <w:t xml:space="preserve">структури </w:t>
      </w:r>
      <w:r w:rsidRPr="00F00E9D">
        <w:rPr>
          <w:lang w:val="uk-UA"/>
        </w:rPr>
        <w:t>навчально-виховного процесу;</w:t>
      </w:r>
    </w:p>
    <w:p w:rsidR="00423DC8" w:rsidRPr="00F00E9D" w:rsidRDefault="000B1F3A">
      <w:pPr>
        <w:numPr>
          <w:ilvl w:val="0"/>
          <w:numId w:val="1"/>
        </w:numPr>
        <w:ind w:right="0" w:hanging="340"/>
        <w:rPr>
          <w:lang w:val="uk-UA"/>
        </w:rPr>
      </w:pPr>
      <w:r w:rsidRPr="00F00E9D">
        <w:rPr>
          <w:lang w:val="uk-UA"/>
        </w:rPr>
        <w:t>задоволення освітніх потреб дітей з психофізичними вадами та врахування інтересів їх здорових однолітків;</w:t>
      </w:r>
    </w:p>
    <w:p w:rsidR="00423DC8" w:rsidRPr="00F00E9D" w:rsidRDefault="000B1F3A">
      <w:pPr>
        <w:numPr>
          <w:ilvl w:val="0"/>
          <w:numId w:val="1"/>
        </w:numPr>
        <w:ind w:right="0" w:hanging="340"/>
        <w:rPr>
          <w:lang w:val="uk-UA"/>
        </w:rPr>
      </w:pPr>
      <w:r w:rsidRPr="00F00E9D">
        <w:rPr>
          <w:lang w:val="uk-UA"/>
        </w:rPr>
        <w:t>створення умов для організації безбар`єрного освітнього процесу з урахуванням особливих потреб осіб, які потребують корекції психофізичного розвитку;</w:t>
      </w:r>
    </w:p>
    <w:p w:rsidR="00423DC8" w:rsidRPr="00F00E9D" w:rsidRDefault="000B1F3A">
      <w:pPr>
        <w:numPr>
          <w:ilvl w:val="0"/>
          <w:numId w:val="1"/>
        </w:numPr>
        <w:ind w:right="0" w:hanging="340"/>
        <w:rPr>
          <w:lang w:val="uk-UA"/>
        </w:rPr>
      </w:pPr>
      <w:r w:rsidRPr="00F00E9D">
        <w:rPr>
          <w:lang w:val="uk-UA"/>
        </w:rPr>
        <w:t>створення індивідуально-орієнтовних програм з урахуванням внесення змін щодо можливостей кожної дитини у з</w:t>
      </w:r>
      <w:r w:rsidRPr="00F00E9D">
        <w:rPr>
          <w:lang w:val="uk-UA"/>
        </w:rPr>
        <w:t>асвоєнні загального рівня освіти;</w:t>
      </w:r>
    </w:p>
    <w:p w:rsidR="00423DC8" w:rsidRPr="00F00E9D" w:rsidRDefault="000B1F3A">
      <w:pPr>
        <w:numPr>
          <w:ilvl w:val="0"/>
          <w:numId w:val="1"/>
        </w:numPr>
        <w:ind w:right="0" w:hanging="340"/>
        <w:rPr>
          <w:lang w:val="uk-UA"/>
        </w:rPr>
      </w:pPr>
      <w:r w:rsidRPr="00F00E9D">
        <w:rPr>
          <w:lang w:val="uk-UA"/>
        </w:rPr>
        <w:t>колективне формування інклюзивного середовища (вихователі, психологи, дефектологи, соціальні педагоги, інструктори з ЛФК, медичний персонал тощо);</w:t>
      </w:r>
    </w:p>
    <w:p w:rsidR="00423DC8" w:rsidRPr="00F00E9D" w:rsidRDefault="000B1F3A">
      <w:pPr>
        <w:numPr>
          <w:ilvl w:val="0"/>
          <w:numId w:val="1"/>
        </w:numPr>
        <w:ind w:right="0" w:hanging="340"/>
        <w:rPr>
          <w:lang w:val="uk-UA"/>
        </w:rPr>
      </w:pPr>
      <w:r w:rsidRPr="00F00E9D">
        <w:rPr>
          <w:lang w:val="uk-UA"/>
        </w:rPr>
        <w:t>система діяльності психолого-медико-педагогічних консультацій (ПМПК), яка с</w:t>
      </w:r>
      <w:r w:rsidRPr="00F00E9D">
        <w:rPr>
          <w:lang w:val="uk-UA"/>
        </w:rPr>
        <w:t>творена на базі навчально-виховного закладу за наявності відповідних фахівців і відіграє системно утворювальну роль щодо супроводу та побудови освітнього маршруту дитини із психофізичними порушеннями, а також точне визначення комплексу абілітаційних впливі</w:t>
      </w:r>
      <w:r w:rsidRPr="00F00E9D">
        <w:rPr>
          <w:lang w:val="uk-UA"/>
        </w:rPr>
        <w:t>в на неї.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 xml:space="preserve">У психолого-педагогічній науці визначено основні </w:t>
      </w:r>
      <w:r w:rsidRPr="00F00E9D">
        <w:rPr>
          <w:i/>
          <w:lang w:val="uk-UA"/>
        </w:rPr>
        <w:t>компоненти інклюзивного середовища</w:t>
      </w:r>
      <w:r w:rsidRPr="00F00E9D">
        <w:rPr>
          <w:lang w:val="uk-UA"/>
        </w:rPr>
        <w:t xml:space="preserve"> (безбар’єрне фізичне і психічне середовище, спеціальні умови навчання </w:t>
      </w:r>
      <w:r w:rsidRPr="00F00E9D">
        <w:rPr>
          <w:lang w:val="uk-UA"/>
        </w:rPr>
        <w:lastRenderedPageBreak/>
        <w:t xml:space="preserve">і виховання), а також </w:t>
      </w:r>
      <w:r w:rsidRPr="00F00E9D">
        <w:rPr>
          <w:i/>
          <w:lang w:val="uk-UA"/>
        </w:rPr>
        <w:t xml:space="preserve">критерії </w:t>
      </w:r>
      <w:r w:rsidRPr="00F00E9D">
        <w:rPr>
          <w:lang w:val="uk-UA"/>
        </w:rPr>
        <w:t>його успішного розвитку (збільшення в освітньому закладі не л</w:t>
      </w:r>
      <w:r w:rsidRPr="00F00E9D">
        <w:rPr>
          <w:lang w:val="uk-UA"/>
        </w:rPr>
        <w:t>ише частки дітей з особливими потребами, але й їх здорових однолітків, рівні можливості в отриманні педагогічної корекції і психологічної підтримки для всіх вихованців, відкритість і доступність інклюзивного середовища як для дітей, так і для їх батьків.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О</w:t>
      </w:r>
      <w:r w:rsidRPr="00F00E9D">
        <w:rPr>
          <w:lang w:val="uk-UA"/>
        </w:rPr>
        <w:t xml:space="preserve">днак, як свідчить практика, для успішного створення інклюзивного середовища існують певні перепони практичної спрямованості, які включають архітектурну недоступність навчально-виховних закладів, неправильність при складанні навчальних програм, відсутність </w:t>
      </w:r>
      <w:r w:rsidRPr="00F00E9D">
        <w:rPr>
          <w:lang w:val="uk-UA"/>
        </w:rPr>
        <w:t>у педагогів підготовки щодо роботи з дітьми, які потребують корекції психофізичного розвитку тощо.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 xml:space="preserve">Тобто, інклюзивне середовище, де виховуються діти, які потребують корекції психофізичного розвитку, містить у собі низку базових </w:t>
      </w:r>
      <w:r w:rsidRPr="00F00E9D">
        <w:rPr>
          <w:i/>
          <w:lang w:val="uk-UA"/>
        </w:rPr>
        <w:t>компонентів</w:t>
      </w:r>
      <w:r w:rsidRPr="00F00E9D">
        <w:rPr>
          <w:lang w:val="uk-UA"/>
        </w:rPr>
        <w:t xml:space="preserve">, необхідних для </w:t>
      </w:r>
      <w:r w:rsidRPr="00F00E9D">
        <w:rPr>
          <w:lang w:val="uk-UA"/>
        </w:rPr>
        <w:t>їхнього повноцінного фізичного, психічного, естетичного та соціального розвитку, а саме:</w:t>
      </w:r>
    </w:p>
    <w:p w:rsidR="00423DC8" w:rsidRPr="00F00E9D" w:rsidRDefault="000B1F3A">
      <w:pPr>
        <w:numPr>
          <w:ilvl w:val="0"/>
          <w:numId w:val="2"/>
        </w:numPr>
        <w:ind w:right="0" w:hanging="340"/>
        <w:rPr>
          <w:lang w:val="uk-UA"/>
        </w:rPr>
      </w:pPr>
      <w:r w:rsidRPr="00F00E9D">
        <w:rPr>
          <w:lang w:val="uk-UA"/>
        </w:rPr>
        <w:t>нормативно-правове, фінансове та програмно-методичне забезпечення освітнього процесу;</w:t>
      </w:r>
    </w:p>
    <w:p w:rsidR="00423DC8" w:rsidRPr="00F00E9D" w:rsidRDefault="000B1F3A">
      <w:pPr>
        <w:numPr>
          <w:ilvl w:val="0"/>
          <w:numId w:val="2"/>
        </w:numPr>
        <w:ind w:right="0" w:hanging="340"/>
        <w:rPr>
          <w:lang w:val="uk-UA"/>
        </w:rPr>
      </w:pPr>
      <w:r w:rsidRPr="00F00E9D">
        <w:rPr>
          <w:lang w:val="uk-UA"/>
        </w:rPr>
        <w:t>організаційні, кадрові та культурно-інформаційні ресурси навчально-виховного закл</w:t>
      </w:r>
      <w:r w:rsidRPr="00F00E9D">
        <w:rPr>
          <w:lang w:val="uk-UA"/>
        </w:rPr>
        <w:t>аду, його науково-дослідницький і духовно-моральний потенціал;</w:t>
      </w:r>
    </w:p>
    <w:p w:rsidR="00423DC8" w:rsidRPr="00F00E9D" w:rsidRDefault="000B1F3A">
      <w:pPr>
        <w:numPr>
          <w:ilvl w:val="0"/>
          <w:numId w:val="2"/>
        </w:numPr>
        <w:ind w:right="0" w:hanging="340"/>
        <w:rPr>
          <w:lang w:val="uk-UA"/>
        </w:rPr>
      </w:pPr>
      <w:r w:rsidRPr="00F00E9D">
        <w:rPr>
          <w:lang w:val="uk-UA"/>
        </w:rPr>
        <w:t>моніторингово-консультативний і корекційно-розвивальний компоненти.</w:t>
      </w:r>
    </w:p>
    <w:p w:rsidR="00423DC8" w:rsidRPr="00F00E9D" w:rsidRDefault="000B1F3A">
      <w:pPr>
        <w:tabs>
          <w:tab w:val="center" w:pos="4779"/>
        </w:tabs>
        <w:spacing w:after="161" w:line="259" w:lineRule="auto"/>
        <w:ind w:left="-15" w:right="0" w:firstLine="0"/>
        <w:jc w:val="left"/>
        <w:rPr>
          <w:lang w:val="uk-UA"/>
        </w:rPr>
      </w:pPr>
      <w:r w:rsidRPr="00F00E9D">
        <w:rPr>
          <w:rFonts w:ascii="Calibri" w:eastAsia="Calibri" w:hAnsi="Calibri" w:cs="Calibri"/>
          <w:sz w:val="20"/>
          <w:lang w:val="uk-UA"/>
        </w:rPr>
        <w:t>318</w:t>
      </w:r>
      <w:r w:rsidRPr="00F00E9D">
        <w:rPr>
          <w:rFonts w:ascii="Calibri" w:eastAsia="Calibri" w:hAnsi="Calibri" w:cs="Calibri"/>
          <w:sz w:val="20"/>
          <w:lang w:val="uk-UA"/>
        </w:rPr>
        <w:tab/>
      </w:r>
      <w:r w:rsidRPr="00F00E9D">
        <w:rPr>
          <w:i/>
          <w:sz w:val="20"/>
          <w:lang w:val="uk-UA"/>
        </w:rPr>
        <w:t>Збірник наукових праць. Випуск 11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 xml:space="preserve">А видатний німецький учений у галузі спеціальної педагогіки О. Шпек виділяє наступні </w:t>
      </w:r>
      <w:r w:rsidRPr="00F00E9D">
        <w:rPr>
          <w:i/>
          <w:lang w:val="uk-UA"/>
        </w:rPr>
        <w:t>ум</w:t>
      </w:r>
      <w:r w:rsidRPr="00F00E9D">
        <w:rPr>
          <w:i/>
          <w:lang w:val="uk-UA"/>
        </w:rPr>
        <w:t xml:space="preserve">ови </w:t>
      </w:r>
      <w:r w:rsidRPr="00F00E9D">
        <w:rPr>
          <w:lang w:val="uk-UA"/>
        </w:rPr>
        <w:t xml:space="preserve">успішного </w:t>
      </w:r>
      <w:r w:rsidRPr="00F00E9D">
        <w:rPr>
          <w:i/>
          <w:lang w:val="uk-UA"/>
        </w:rPr>
        <w:t>функціонування інклюзивного середовища</w:t>
      </w:r>
      <w:r w:rsidRPr="00F00E9D">
        <w:rPr>
          <w:lang w:val="uk-UA"/>
        </w:rPr>
        <w:t>:</w:t>
      </w:r>
    </w:p>
    <w:p w:rsidR="00423DC8" w:rsidRPr="00F00E9D" w:rsidRDefault="000B1F3A">
      <w:pPr>
        <w:numPr>
          <w:ilvl w:val="0"/>
          <w:numId w:val="3"/>
        </w:numPr>
        <w:ind w:right="0" w:hanging="340"/>
        <w:rPr>
          <w:lang w:val="uk-UA"/>
        </w:rPr>
      </w:pPr>
      <w:r w:rsidRPr="00F00E9D">
        <w:rPr>
          <w:lang w:val="uk-UA"/>
        </w:rPr>
        <w:t>взаємні зусилля з боку дітей, які потребують корекції психофізичного розвитку, та групи за обопільними змінами щодо їх зближення у процесі спільної життєдіяльності;</w:t>
      </w:r>
    </w:p>
    <w:p w:rsidR="00423DC8" w:rsidRPr="00F00E9D" w:rsidRDefault="000B1F3A">
      <w:pPr>
        <w:numPr>
          <w:ilvl w:val="0"/>
          <w:numId w:val="3"/>
        </w:numPr>
        <w:ind w:right="0" w:hanging="340"/>
        <w:rPr>
          <w:lang w:val="uk-UA"/>
        </w:rPr>
      </w:pPr>
      <w:r w:rsidRPr="00F00E9D">
        <w:rPr>
          <w:lang w:val="uk-UA"/>
        </w:rPr>
        <w:t>визначені вимоги до просторово-часово</w:t>
      </w:r>
      <w:r w:rsidRPr="00F00E9D">
        <w:rPr>
          <w:lang w:val="uk-UA"/>
        </w:rPr>
        <w:t>ї спільності, в яку включається дитина із особливими освітніми потребами;</w:t>
      </w:r>
    </w:p>
    <w:p w:rsidR="00423DC8" w:rsidRPr="00F00E9D" w:rsidRDefault="000B1F3A">
      <w:pPr>
        <w:numPr>
          <w:ilvl w:val="0"/>
          <w:numId w:val="3"/>
        </w:numPr>
        <w:ind w:right="0" w:hanging="340"/>
        <w:rPr>
          <w:lang w:val="uk-UA"/>
        </w:rPr>
      </w:pPr>
      <w:r w:rsidRPr="00F00E9D">
        <w:rPr>
          <w:lang w:val="uk-UA"/>
        </w:rPr>
        <w:t>створення освітнім закладом, де навчаються діти із психофізичними порушеннями, умов для інклюзії, соціальної інтеграції у різних сферах життєдіяльності (дозвіллєвій, освітній, правов</w:t>
      </w:r>
      <w:r w:rsidRPr="00F00E9D">
        <w:rPr>
          <w:lang w:val="uk-UA"/>
        </w:rPr>
        <w:t>ій тощо);</w:t>
      </w:r>
    </w:p>
    <w:p w:rsidR="00423DC8" w:rsidRPr="00F00E9D" w:rsidRDefault="000B1F3A">
      <w:pPr>
        <w:numPr>
          <w:ilvl w:val="0"/>
          <w:numId w:val="3"/>
        </w:numPr>
        <w:ind w:right="0" w:hanging="340"/>
        <w:rPr>
          <w:lang w:val="uk-UA"/>
        </w:rPr>
      </w:pPr>
      <w:r w:rsidRPr="00F00E9D">
        <w:rPr>
          <w:lang w:val="uk-UA"/>
        </w:rPr>
        <w:t>соціальне зближення дітей, які потребують корекції психофізичного розвитку та їх здорових однолітків;</w:t>
      </w:r>
    </w:p>
    <w:p w:rsidR="00423DC8" w:rsidRPr="00F00E9D" w:rsidRDefault="000B1F3A">
      <w:pPr>
        <w:numPr>
          <w:ilvl w:val="0"/>
          <w:numId w:val="3"/>
        </w:numPr>
        <w:ind w:right="0" w:hanging="340"/>
        <w:rPr>
          <w:lang w:val="uk-UA"/>
        </w:rPr>
      </w:pPr>
      <w:r w:rsidRPr="00F00E9D">
        <w:rPr>
          <w:lang w:val="uk-UA"/>
        </w:rPr>
        <w:t>збереження своєрідності, унікальності кожної дитини [5 , с. 32].</w:t>
      </w:r>
    </w:p>
    <w:p w:rsidR="00423DC8" w:rsidRPr="00F00E9D" w:rsidRDefault="000B1F3A">
      <w:pPr>
        <w:ind w:left="-14" w:right="0"/>
        <w:rPr>
          <w:lang w:val="uk-UA"/>
        </w:rPr>
      </w:pPr>
      <w:r w:rsidRPr="00F00E9D">
        <w:rPr>
          <w:lang w:val="uk-UA"/>
        </w:rPr>
        <w:t>На нашу думку, застосування даних умов у комплексі стане важливим фактором впли</w:t>
      </w:r>
      <w:r w:rsidRPr="00F00E9D">
        <w:rPr>
          <w:lang w:val="uk-UA"/>
        </w:rPr>
        <w:t>ву на формування особистості дошкільників, які потребують корекції психофізичного розвитку. Зокрема, основою для створення інклюзивного середовища для дітей дошкільного віку, які потребують корекції психофізичного розвитку, може слугувати розробка моделі б</w:t>
      </w:r>
      <w:r w:rsidRPr="00F00E9D">
        <w:rPr>
          <w:lang w:val="uk-UA"/>
        </w:rPr>
        <w:t>езперервної освітньої вертикалі – ефективна співпраця кількох освітніх закладів, наприклад: центр розвитку дитини – дитячий садок – центр психолого-медико-педагогічного супроводу – школа. Така модель дозволить здійснити на практиці системний підхід щодо вк</w:t>
      </w:r>
      <w:r w:rsidRPr="00F00E9D">
        <w:rPr>
          <w:lang w:val="uk-UA"/>
        </w:rPr>
        <w:t>лючення дошкільників, які потребують корекції психофізичного розвитку, у суспільство.</w:t>
      </w:r>
    </w:p>
    <w:p w:rsidR="00423DC8" w:rsidRPr="00F00E9D" w:rsidRDefault="000B1F3A">
      <w:pPr>
        <w:spacing w:after="249"/>
        <w:ind w:left="-14" w:right="0"/>
        <w:rPr>
          <w:lang w:val="uk-UA"/>
        </w:rPr>
      </w:pPr>
      <w:r w:rsidRPr="00F00E9D">
        <w:rPr>
          <w:lang w:val="uk-UA"/>
        </w:rPr>
        <w:t xml:space="preserve">Отже, у своєму дослідженні під поняттям </w:t>
      </w:r>
      <w:r w:rsidRPr="00F00E9D">
        <w:rPr>
          <w:b/>
          <w:lang w:val="uk-UA"/>
        </w:rPr>
        <w:t>інклюзивне середовище</w:t>
      </w:r>
      <w:r w:rsidRPr="00F00E9D">
        <w:rPr>
          <w:lang w:val="uk-UA"/>
        </w:rPr>
        <w:t xml:space="preserve"> розуміємо життєвий простір, що забезпечує підвищення почуття власної гідності та впевненості у собі дітей, які потребують корекції психофізичного розвитку. Створення інклюзивного середовища являє собою гнучку, індивідуалізовану систему, що передбачає не л</w:t>
      </w:r>
      <w:r w:rsidRPr="00F00E9D">
        <w:rPr>
          <w:lang w:val="uk-UA"/>
        </w:rPr>
        <w:t xml:space="preserve">ише пристосування фізичного середовища, але й підготовку педагогів, зміну системи надання вихованцям можливості навчатись за </w:t>
      </w:r>
      <w:r w:rsidRPr="00F00E9D">
        <w:rPr>
          <w:lang w:val="uk-UA"/>
        </w:rPr>
        <w:lastRenderedPageBreak/>
        <w:t>індивідуальним навчальним планом, забезпечення медико-соціального, психолого-педагогічного та наукового супроводу, створення навчал</w:t>
      </w:r>
      <w:r w:rsidRPr="00F00E9D">
        <w:rPr>
          <w:lang w:val="uk-UA"/>
        </w:rPr>
        <w:t>ьних програм, навчально-методичного забезпечення тощо.</w:t>
      </w:r>
    </w:p>
    <w:p w:rsidR="00423DC8" w:rsidRPr="00F00E9D" w:rsidRDefault="000B1F3A">
      <w:pPr>
        <w:spacing w:after="7" w:line="259" w:lineRule="auto"/>
        <w:ind w:right="8" w:firstLine="0"/>
        <w:jc w:val="center"/>
        <w:rPr>
          <w:lang w:val="uk-UA"/>
        </w:rPr>
      </w:pPr>
      <w:r w:rsidRPr="00F00E9D">
        <w:rPr>
          <w:b/>
          <w:sz w:val="24"/>
          <w:lang w:val="uk-UA"/>
        </w:rPr>
        <w:t>Список використаних джерел</w:t>
      </w:r>
    </w:p>
    <w:p w:rsidR="00423DC8" w:rsidRPr="00F00E9D" w:rsidRDefault="000B1F3A">
      <w:pPr>
        <w:numPr>
          <w:ilvl w:val="0"/>
          <w:numId w:val="4"/>
        </w:numPr>
        <w:spacing w:after="3" w:line="262" w:lineRule="auto"/>
        <w:ind w:right="0" w:hanging="340"/>
        <w:rPr>
          <w:lang w:val="uk-UA"/>
        </w:rPr>
      </w:pPr>
      <w:r w:rsidRPr="00F00E9D">
        <w:rPr>
          <w:sz w:val="24"/>
          <w:lang w:val="uk-UA"/>
        </w:rPr>
        <w:t>Выготский Л. С. Коллектив как фактор развития дефективного ребёнка [Текст] // Собрание сочинений. – Т. 5. – М., 1983.</w:t>
      </w:r>
    </w:p>
    <w:p w:rsidR="00423DC8" w:rsidRPr="00F00E9D" w:rsidRDefault="000B1F3A">
      <w:pPr>
        <w:numPr>
          <w:ilvl w:val="0"/>
          <w:numId w:val="4"/>
        </w:numPr>
        <w:spacing w:after="3" w:line="262" w:lineRule="auto"/>
        <w:ind w:right="0" w:hanging="340"/>
        <w:rPr>
          <w:lang w:val="uk-UA"/>
        </w:rPr>
      </w:pPr>
      <w:r w:rsidRPr="00F00E9D">
        <w:rPr>
          <w:sz w:val="24"/>
          <w:lang w:val="uk-UA"/>
        </w:rPr>
        <w:t>Дефектологічний словник: навчальний посібник / за ред. В</w:t>
      </w:r>
      <w:r w:rsidRPr="00F00E9D">
        <w:rPr>
          <w:sz w:val="24"/>
          <w:lang w:val="uk-UA"/>
        </w:rPr>
        <w:t xml:space="preserve">.І. Бондаря, В. М. Синьова; [упоряд. </w:t>
      </w:r>
    </w:p>
    <w:p w:rsidR="00423DC8" w:rsidRPr="00F00E9D" w:rsidRDefault="000B1F3A">
      <w:pPr>
        <w:spacing w:after="3" w:line="262" w:lineRule="auto"/>
        <w:ind w:left="340" w:right="0" w:firstLine="0"/>
        <w:rPr>
          <w:lang w:val="uk-UA"/>
        </w:rPr>
      </w:pPr>
      <w:r w:rsidRPr="00F00E9D">
        <w:rPr>
          <w:sz w:val="24"/>
          <w:lang w:val="uk-UA"/>
        </w:rPr>
        <w:t>В. М. Тімашова]. – К. : «МП Леся», 2011. – 528 с.</w:t>
      </w:r>
    </w:p>
    <w:p w:rsidR="00423DC8" w:rsidRDefault="000B1F3A">
      <w:pPr>
        <w:numPr>
          <w:ilvl w:val="0"/>
          <w:numId w:val="4"/>
        </w:numPr>
        <w:spacing w:after="3" w:line="262" w:lineRule="auto"/>
        <w:ind w:right="0" w:hanging="340"/>
      </w:pPr>
      <w:r>
        <w:rPr>
          <w:sz w:val="24"/>
        </w:rPr>
        <w:t>Зубарева Т. Г. Компетентностно-оринтированное повышение квалификации специалистов по созданию инклюзивной образовательной среды: автореф. дисс. … канд. пед. наук [Элект</w:t>
      </w:r>
      <w:r>
        <w:rPr>
          <w:sz w:val="24"/>
        </w:rPr>
        <w:t>ронный ресурс] / Татьяна Гаспаровна Зубарева. – Курск, 2009. – 24 с.</w:t>
      </w:r>
    </w:p>
    <w:p w:rsidR="00423DC8" w:rsidRDefault="000B1F3A">
      <w:pPr>
        <w:numPr>
          <w:ilvl w:val="0"/>
          <w:numId w:val="4"/>
        </w:numPr>
        <w:spacing w:after="3" w:line="262" w:lineRule="auto"/>
        <w:ind w:right="0" w:hanging="340"/>
      </w:pPr>
      <w:r>
        <w:rPr>
          <w:sz w:val="24"/>
        </w:rPr>
        <w:t xml:space="preserve">Мастюкова Е.М. Лечебная педагогика. Ранний и дошкольный возраст [Текст] / Е. М. Мастюкова. – М., 1997. </w:t>
      </w:r>
    </w:p>
    <w:p w:rsidR="00423DC8" w:rsidRDefault="000B1F3A">
      <w:pPr>
        <w:numPr>
          <w:ilvl w:val="0"/>
          <w:numId w:val="4"/>
        </w:numPr>
        <w:spacing w:after="3" w:line="262" w:lineRule="auto"/>
        <w:ind w:right="0" w:hanging="340"/>
      </w:pPr>
      <w:r>
        <w:rPr>
          <w:sz w:val="24"/>
        </w:rPr>
        <w:t>Шпек О. Люди с умственной отсталостью: обучение и воспитание [Текст] / О. Шпек. – М</w:t>
      </w:r>
      <w:r>
        <w:rPr>
          <w:sz w:val="24"/>
        </w:rPr>
        <w:t>., 2003.</w:t>
      </w:r>
    </w:p>
    <w:p w:rsidR="00423DC8" w:rsidRDefault="000B1F3A">
      <w:pPr>
        <w:numPr>
          <w:ilvl w:val="0"/>
          <w:numId w:val="4"/>
        </w:numPr>
        <w:spacing w:after="292" w:line="262" w:lineRule="auto"/>
        <w:ind w:right="0" w:hanging="340"/>
      </w:pPr>
      <w:r>
        <w:rPr>
          <w:sz w:val="24"/>
        </w:rPr>
        <w:t xml:space="preserve">Ясвин В.А. Образовательная среда: от моделирования к проектированию [Текст] / В. А. Ясвин. –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Смысл, 2001. – 365 с.</w:t>
      </w:r>
    </w:p>
    <w:p w:rsidR="00423DC8" w:rsidRPr="00F00E9D" w:rsidRDefault="000B1F3A">
      <w:pPr>
        <w:spacing w:after="16" w:line="248" w:lineRule="auto"/>
        <w:ind w:left="268" w:right="0" w:firstLine="217"/>
        <w:rPr>
          <w:lang w:val="en-US"/>
        </w:rPr>
      </w:pPr>
      <w:r w:rsidRPr="00F00E9D">
        <w:rPr>
          <w:i/>
          <w:sz w:val="24"/>
          <w:lang w:val="en-US"/>
        </w:rPr>
        <w:t xml:space="preserve">The article describes the features of an inclusive environment and its role in shaping the personality of preschoolers in need </w:t>
      </w:r>
      <w:r w:rsidRPr="00F00E9D">
        <w:rPr>
          <w:i/>
          <w:sz w:val="24"/>
          <w:lang w:val="en-US"/>
        </w:rPr>
        <w:t>of correction of mental and physical development.</w:t>
      </w:r>
    </w:p>
    <w:p w:rsidR="00423DC8" w:rsidRPr="00F00E9D" w:rsidRDefault="000B1F3A">
      <w:pPr>
        <w:spacing w:after="16" w:line="248" w:lineRule="auto"/>
        <w:ind w:left="510" w:right="0" w:firstLine="0"/>
        <w:rPr>
          <w:lang w:val="en-US"/>
        </w:rPr>
      </w:pPr>
      <w:r w:rsidRPr="00F00E9D">
        <w:rPr>
          <w:b/>
          <w:i/>
          <w:sz w:val="24"/>
          <w:lang w:val="en-US"/>
        </w:rPr>
        <w:t>Key words:</w:t>
      </w:r>
      <w:r w:rsidRPr="00F00E9D">
        <w:rPr>
          <w:i/>
          <w:sz w:val="24"/>
          <w:lang w:val="en-US"/>
        </w:rPr>
        <w:t xml:space="preserve"> inclusion, environment, inclusi</w:t>
      </w:r>
      <w:bookmarkStart w:id="0" w:name="_GoBack"/>
      <w:bookmarkEnd w:id="0"/>
      <w:r w:rsidRPr="00F00E9D">
        <w:rPr>
          <w:i/>
          <w:sz w:val="24"/>
          <w:lang w:val="en-US"/>
        </w:rPr>
        <w:t>ve environment</w:t>
      </w:r>
      <w:r w:rsidRPr="00F00E9D">
        <w:rPr>
          <w:i/>
          <w:color w:val="333334"/>
          <w:sz w:val="24"/>
          <w:lang w:val="en-US"/>
        </w:rPr>
        <w:t>.</w:t>
      </w:r>
    </w:p>
    <w:sectPr w:rsidR="00423DC8" w:rsidRPr="00F00E9D">
      <w:headerReference w:type="even" r:id="rId7"/>
      <w:headerReference w:type="default" r:id="rId8"/>
      <w:headerReference w:type="first" r:id="rId9"/>
      <w:pgSz w:w="11906" w:h="16838"/>
      <w:pgMar w:top="1124" w:right="1402" w:bottom="1377" w:left="14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F3A" w:rsidRDefault="000B1F3A">
      <w:pPr>
        <w:spacing w:after="0" w:line="240" w:lineRule="auto"/>
      </w:pPr>
      <w:r>
        <w:separator/>
      </w:r>
    </w:p>
  </w:endnote>
  <w:endnote w:type="continuationSeparator" w:id="0">
    <w:p w:rsidR="000B1F3A" w:rsidRDefault="000B1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F3A" w:rsidRDefault="000B1F3A">
      <w:pPr>
        <w:spacing w:after="0" w:line="240" w:lineRule="auto"/>
      </w:pPr>
      <w:r>
        <w:separator/>
      </w:r>
    </w:p>
  </w:footnote>
  <w:footnote w:type="continuationSeparator" w:id="0">
    <w:p w:rsidR="000B1F3A" w:rsidRDefault="000B1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C8" w:rsidRDefault="000B1F3A">
    <w:pPr>
      <w:spacing w:after="0" w:line="259" w:lineRule="auto"/>
      <w:ind w:left="-1424" w:right="10503" w:firstLine="0"/>
      <w:jc w:val="left"/>
    </w:pPr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911228</wp:posOffset>
              </wp:positionV>
              <wp:extent cx="5760085" cy="12700"/>
              <wp:effectExtent l="0" t="0" r="0" b="0"/>
              <wp:wrapSquare wrapText="bothSides"/>
              <wp:docPr id="2983" name="Group 29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085" cy="12700"/>
                        <a:chOff x="0" y="0"/>
                        <a:chExt cx="5760085" cy="12700"/>
                      </a:xfrm>
                    </wpg:grpSpPr>
                    <wps:wsp>
                      <wps:cNvPr id="2984" name="Shape 2984"/>
                      <wps:cNvSpPr/>
                      <wps:spPr>
                        <a:xfrm>
                          <a:off x="0" y="0"/>
                          <a:ext cx="576008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60085" y="0"/>
                              </a:lnTo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1C1C1B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83" style="width:453.55pt;height:1pt;position:absolute;mso-position-horizontal-relative:page;mso-position-horizontal:absolute;margin-left:70.9pt;mso-position-vertical-relative:page;margin-top:71.7502pt;" coordsize="57600,127">
              <v:shape id="Shape 2984" style="position:absolute;width:57600;height:0;left:0;top:0;" coordsize="5760085,0" path="m0,0l5760085,0">
                <v:stroke weight="1pt" endcap="flat" joinstyle="miter" miterlimit="4" on="true" color="#1c1c1b"/>
                <v:fill on="false" color="#000000" opacity="0"/>
              </v:shape>
              <w10:wrap type="square"/>
            </v:group>
          </w:pict>
        </mc:Fallback>
      </mc:AlternateContent>
    </w:r>
  </w:p>
  <w:p w:rsidR="00423DC8" w:rsidRDefault="000B1F3A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2985" name="Group 29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85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C8" w:rsidRDefault="000B1F3A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900105</wp:posOffset>
              </wp:positionH>
              <wp:positionV relativeFrom="page">
                <wp:posOffset>911228</wp:posOffset>
              </wp:positionV>
              <wp:extent cx="5760721" cy="12700"/>
              <wp:effectExtent l="0" t="0" r="0" b="0"/>
              <wp:wrapNone/>
              <wp:docPr id="2977" name="Group 29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1" cy="12700"/>
                        <a:chOff x="0" y="0"/>
                        <a:chExt cx="5760721" cy="12700"/>
                      </a:xfrm>
                    </wpg:grpSpPr>
                    <wps:wsp>
                      <wps:cNvPr id="2978" name="Shape 2978"/>
                      <wps:cNvSpPr/>
                      <wps:spPr>
                        <a:xfrm>
                          <a:off x="0" y="0"/>
                          <a:ext cx="576072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721">
                              <a:moveTo>
                                <a:pt x="0" y="0"/>
                              </a:moveTo>
                              <a:lnTo>
                                <a:pt x="5760721" y="0"/>
                              </a:lnTo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1C1C1B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77" style="width:453.6pt;height:1pt;position:absolute;z-index:-2147483648;mso-position-horizontal-relative:page;mso-position-horizontal:absolute;margin-left:70.8744pt;mso-position-vertical-relative:page;margin-top:71.7502pt;" coordsize="57607,127">
              <v:shape id="Shape 2978" style="position:absolute;width:57607;height:0;left:0;top:0;" coordsize="5760721,0" path="m0,0l5760721,0">
                <v:stroke weight="1pt" endcap="flat" joinstyle="miter" miterlimit="4" on="true" color="#1c1c1b"/>
                <v:fill on="false" color="#000000" opacity="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DC8" w:rsidRDefault="000B1F3A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900105</wp:posOffset>
              </wp:positionH>
              <wp:positionV relativeFrom="page">
                <wp:posOffset>911228</wp:posOffset>
              </wp:positionV>
              <wp:extent cx="5760721" cy="12700"/>
              <wp:effectExtent l="0" t="0" r="0" b="0"/>
              <wp:wrapNone/>
              <wp:docPr id="2974" name="Group 29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1" cy="12700"/>
                        <a:chOff x="0" y="0"/>
                        <a:chExt cx="5760721" cy="12700"/>
                      </a:xfrm>
                    </wpg:grpSpPr>
                    <wps:wsp>
                      <wps:cNvPr id="2975" name="Shape 2975"/>
                      <wps:cNvSpPr/>
                      <wps:spPr>
                        <a:xfrm>
                          <a:off x="0" y="0"/>
                          <a:ext cx="576072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721">
                              <a:moveTo>
                                <a:pt x="0" y="0"/>
                              </a:moveTo>
                              <a:lnTo>
                                <a:pt x="5760721" y="0"/>
                              </a:lnTo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1C1C1B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74" style="width:453.6pt;height:1pt;position:absolute;z-index:-2147483648;mso-position-horizontal-relative:page;mso-position-horizontal:absolute;margin-left:70.8744pt;mso-position-vertical-relative:page;margin-top:71.7502pt;" coordsize="57607,127">
              <v:shape id="Shape 2975" style="position:absolute;width:57607;height:0;left:0;top:0;" coordsize="5760721,0" path="m0,0l5760721,0">
                <v:stroke weight="1pt" endcap="flat" joinstyle="miter" miterlimit="4" on="true" color="#1c1c1b"/>
                <v:fill on="false" color="#000000" opacity="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407B2"/>
    <w:multiLevelType w:val="hybridMultilevel"/>
    <w:tmpl w:val="D700DB58"/>
    <w:lvl w:ilvl="0" w:tplc="768A0C26">
      <w:start w:val="1"/>
      <w:numFmt w:val="decimal"/>
      <w:lvlText w:val="%1.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142D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CD3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68D8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16AE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AAA9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4CD1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F498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0E88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596D83"/>
    <w:multiLevelType w:val="hybridMultilevel"/>
    <w:tmpl w:val="F710D88E"/>
    <w:lvl w:ilvl="0" w:tplc="58D2CA32">
      <w:start w:val="1"/>
      <w:numFmt w:val="decimal"/>
      <w:lvlText w:val="%1)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81E6E7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22FEB5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9670BF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107852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DC3A2E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C6C4E4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0B9227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A680EE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D6D6E2E"/>
    <w:multiLevelType w:val="hybridMultilevel"/>
    <w:tmpl w:val="3C3648B8"/>
    <w:lvl w:ilvl="0" w:tplc="45728C64">
      <w:start w:val="1"/>
      <w:numFmt w:val="decimal"/>
      <w:lvlText w:val="%1)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71D0A6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37202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7CB482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E36647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75D4E0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FC2EFB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73CCCD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6D6670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CEB4EA0"/>
    <w:multiLevelType w:val="hybridMultilevel"/>
    <w:tmpl w:val="18389934"/>
    <w:lvl w:ilvl="0" w:tplc="DB62C81C">
      <w:start w:val="1"/>
      <w:numFmt w:val="decimal"/>
      <w:lvlText w:val="%1)"/>
      <w:lvlJc w:val="left"/>
      <w:pPr>
        <w:ind w:left="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58DC43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2A984D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C1C677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0EA50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1EC258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B316D1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42B81D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A2C287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C1C1B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DC8"/>
    <w:rsid w:val="000B1F3A"/>
    <w:rsid w:val="00423DC8"/>
    <w:rsid w:val="00F0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2074"/>
  <w15:docId w15:val="{5AB4A44E-F750-48D4-B73B-25817B94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5" w:line="236" w:lineRule="auto"/>
      <w:ind w:right="6" w:firstLine="444"/>
      <w:jc w:val="both"/>
    </w:pPr>
    <w:rPr>
      <w:rFonts w:ascii="Times New Roman" w:eastAsia="Times New Roman" w:hAnsi="Times New Roman" w:cs="Times New Roman"/>
      <w:color w:val="1C1C1B"/>
      <w:sz w:val="25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16"/>
      <w:ind w:right="7"/>
      <w:jc w:val="right"/>
      <w:outlineLvl w:val="0"/>
    </w:pPr>
    <w:rPr>
      <w:rFonts w:ascii="Times New Roman" w:eastAsia="Times New Roman" w:hAnsi="Times New Roman" w:cs="Times New Roman"/>
      <w:b/>
      <w:i/>
      <w:color w:val="1C1C1B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1C1C1B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2103</Words>
  <Characters>11990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cp:lastModifiedBy>кукуся</cp:lastModifiedBy>
  <cp:revision>2</cp:revision>
  <dcterms:created xsi:type="dcterms:W3CDTF">2019-01-10T16:36:00Z</dcterms:created>
  <dcterms:modified xsi:type="dcterms:W3CDTF">2019-01-10T16:36:00Z</dcterms:modified>
</cp:coreProperties>
</file>