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8DD" w:rsidRPr="006D29C3" w:rsidRDefault="00B63DB4">
      <w:pPr>
        <w:spacing w:after="107" w:line="259" w:lineRule="auto"/>
        <w:ind w:right="62" w:firstLine="0"/>
        <w:jc w:val="right"/>
        <w:rPr>
          <w:lang w:val="uk-UA"/>
        </w:rPr>
      </w:pPr>
      <w:r w:rsidRPr="006D29C3">
        <w:rPr>
          <w:b/>
          <w:i/>
          <w:lang w:val="uk-UA"/>
        </w:rPr>
        <w:t xml:space="preserve">Назаренко Л. М., </w:t>
      </w:r>
      <w:proofErr w:type="spellStart"/>
      <w:r w:rsidRPr="006D29C3">
        <w:rPr>
          <w:b/>
          <w:i/>
          <w:lang w:val="uk-UA"/>
        </w:rPr>
        <w:t>Підгатець</w:t>
      </w:r>
      <w:proofErr w:type="spellEnd"/>
      <w:r w:rsidRPr="006D29C3">
        <w:rPr>
          <w:b/>
          <w:i/>
          <w:lang w:val="uk-UA"/>
        </w:rPr>
        <w:t xml:space="preserve"> О. С.</w:t>
      </w:r>
      <w:r w:rsidRPr="006D29C3">
        <w:rPr>
          <w:b/>
          <w:i/>
          <w:vertAlign w:val="superscript"/>
          <w:lang w:val="uk-UA"/>
        </w:rPr>
        <w:t>*</w:t>
      </w:r>
      <w:r w:rsidRPr="006D29C3">
        <w:rPr>
          <w:b/>
          <w:i/>
          <w:lang w:val="uk-UA"/>
        </w:rPr>
        <w:t xml:space="preserve"> </w:t>
      </w:r>
    </w:p>
    <w:p w:rsidR="003A48DD" w:rsidRPr="006D29C3" w:rsidRDefault="00B63DB4">
      <w:pPr>
        <w:spacing w:after="0" w:line="259" w:lineRule="auto"/>
        <w:ind w:left="10" w:right="66" w:hanging="10"/>
        <w:jc w:val="center"/>
        <w:rPr>
          <w:lang w:val="uk-UA"/>
        </w:rPr>
      </w:pPr>
      <w:r w:rsidRPr="006D29C3">
        <w:rPr>
          <w:b/>
          <w:lang w:val="uk-UA"/>
        </w:rPr>
        <w:t xml:space="preserve">УПРАВЛІННЯ ПРОЦЕСОМ УПРОВАДЖЕННЯ  </w:t>
      </w:r>
    </w:p>
    <w:p w:rsidR="003A48DD" w:rsidRPr="006D29C3" w:rsidRDefault="00B63DB4">
      <w:pPr>
        <w:spacing w:after="80" w:line="259" w:lineRule="auto"/>
        <w:ind w:left="10" w:right="66" w:hanging="10"/>
        <w:jc w:val="center"/>
        <w:rPr>
          <w:lang w:val="uk-UA"/>
        </w:rPr>
      </w:pPr>
      <w:r w:rsidRPr="006D29C3">
        <w:rPr>
          <w:b/>
          <w:lang w:val="uk-UA"/>
        </w:rPr>
        <w:t xml:space="preserve">ІНКЛЮЗИВНОЇ ОСВІТИ </w:t>
      </w:r>
    </w:p>
    <w:p w:rsidR="003A48DD" w:rsidRPr="006D29C3" w:rsidRDefault="00B63DB4">
      <w:pPr>
        <w:spacing w:after="141" w:line="233" w:lineRule="auto"/>
        <w:ind w:firstLine="425"/>
        <w:rPr>
          <w:lang w:val="uk-UA"/>
        </w:rPr>
      </w:pPr>
      <w:r w:rsidRPr="006D29C3">
        <w:rPr>
          <w:i/>
          <w:sz w:val="16"/>
          <w:lang w:val="uk-UA"/>
        </w:rPr>
        <w:t xml:space="preserve">У статті розкрито сутність понять «інклюзія», «інклюзивна освіта», </w:t>
      </w:r>
      <w:r w:rsidRPr="006D29C3">
        <w:rPr>
          <w:i/>
          <w:sz w:val="16"/>
          <w:lang w:val="uk-UA"/>
        </w:rPr>
        <w:t>розкрито актуальність упровадження інклюзивного навчання в загальноосвітніх навчальних закладах. Обґрунтовано необхідність внесення змін у структуру управлінської діяльності, викладено методичні матеріали з досвіду відкриття інклюзивних класів і здійснення</w:t>
      </w:r>
      <w:r w:rsidRPr="006D29C3">
        <w:rPr>
          <w:i/>
          <w:sz w:val="16"/>
          <w:lang w:val="uk-UA"/>
        </w:rPr>
        <w:t xml:space="preserve"> управління навчально-виховним процесом.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>Аналіз стану сучасного суспільства спонукає до роздумів про місце та роль у ньому дітей, які мають особливості психофізичного розвитку та потребують додаткової педагогічної уваги. У соціальному середовищі, на жаль</w:t>
      </w:r>
      <w:r w:rsidRPr="006D29C3">
        <w:rPr>
          <w:lang w:val="uk-UA"/>
        </w:rPr>
        <w:t>, і досі залишаються не подоланими стереотипні уявлення про так звану «норму» розвитку дитини. Проте, батьки й педагоги мають знати, що кожна людина, незалежно від стану здоров’я, наявності фізичної чи інтелектуальної вади, має право на одержання освіти, я</w:t>
      </w:r>
      <w:r w:rsidRPr="006D29C3">
        <w:rPr>
          <w:lang w:val="uk-UA"/>
        </w:rPr>
        <w:t>кість якої не відрізняється від якості освіти здорових людей. Адже ідея інклюзії, яка активно реалізується останніми роками у вітчизняному освітньому просторі, полягає саме в надані права на рівний доступ до отримання освітніх послуг. А це, у свою чергу, в</w:t>
      </w:r>
      <w:r w:rsidRPr="006D29C3">
        <w:rPr>
          <w:lang w:val="uk-UA"/>
        </w:rPr>
        <w:t>имагає нового підходу до управління навчальним закладом. Однак, як показує досвід управлінської діяльності, одним із чинників уповільнення процесу відкриття інклюзивних класів є неусвідомленість керівниками суспільної цінності інклюзивної освіти та їх него</w:t>
      </w:r>
      <w:r w:rsidRPr="006D29C3">
        <w:rPr>
          <w:lang w:val="uk-UA"/>
        </w:rPr>
        <w:t xml:space="preserve">товність забезпечувати додаткові соціально-педагогічні умови навчання, виховання й розвитку особистості дитини.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 xml:space="preserve">Метою нашої статті є розгляд особливостей управлінської діяльності керівника на шляху створення інклюзивної школи.  </w:t>
      </w:r>
    </w:p>
    <w:p w:rsidR="003A48DD" w:rsidRPr="006D29C3" w:rsidRDefault="00B63DB4">
      <w:pPr>
        <w:spacing w:after="49"/>
        <w:ind w:left="-15" w:right="51"/>
        <w:rPr>
          <w:lang w:val="uk-UA"/>
        </w:rPr>
      </w:pPr>
      <w:r w:rsidRPr="006D29C3">
        <w:rPr>
          <w:lang w:val="uk-UA"/>
        </w:rPr>
        <w:t xml:space="preserve">Наприкінці ХХ століття у </w:t>
      </w:r>
      <w:r w:rsidRPr="006D29C3">
        <w:rPr>
          <w:lang w:val="uk-UA"/>
        </w:rPr>
        <w:t>сфері розвитку європейської освіти здійснюються кроки щодо розуміння та забезпеченості якісного навчання дітей з особливими потребами. Загалом ідея інклюзивного навчання по своїй суті є прогресивна й моральна, що, у свій час, було доведено практикою відкри</w:t>
      </w:r>
      <w:r w:rsidRPr="006D29C3">
        <w:rPr>
          <w:lang w:val="uk-UA"/>
        </w:rPr>
        <w:t xml:space="preserve">ття спеціальних шкіл-інтернатів, де діти з особливостями у психофізичному розвитку могли отримати освіту. Проте фактор стагнації, ізоляції дитини, нерівності її можливостей залишав свій відбиток у подальшому житті. Саме це обумовило пошук більш соціальних </w:t>
      </w:r>
      <w:r w:rsidRPr="006D29C3">
        <w:rPr>
          <w:lang w:val="uk-UA"/>
        </w:rPr>
        <w:t xml:space="preserve">форм організації навчання таких дітей. Тому разом із вибором Україною незалежного та демократичного напряму розвитку суспільства, нашою державою в 1991 році було визнано </w:t>
      </w:r>
    </w:p>
    <w:p w:rsidR="003A48DD" w:rsidRPr="006D29C3" w:rsidRDefault="00B63DB4">
      <w:pPr>
        <w:spacing w:after="0" w:line="259" w:lineRule="auto"/>
        <w:ind w:right="0" w:firstLine="0"/>
        <w:jc w:val="left"/>
        <w:rPr>
          <w:lang w:val="uk-UA"/>
        </w:rPr>
      </w:pPr>
      <w:r w:rsidRPr="006D29C3">
        <w:rPr>
          <w:rFonts w:ascii="Arial" w:eastAsia="Arial" w:hAnsi="Arial" w:cs="Arial"/>
          <w:strike/>
          <w:sz w:val="20"/>
          <w:lang w:val="uk-UA"/>
        </w:rPr>
        <w:t xml:space="preserve">                                                    </w:t>
      </w:r>
      <w:r w:rsidRPr="006D29C3">
        <w:rPr>
          <w:rFonts w:ascii="Arial" w:eastAsia="Arial" w:hAnsi="Arial" w:cs="Arial"/>
          <w:sz w:val="20"/>
          <w:lang w:val="uk-UA"/>
        </w:rPr>
        <w:t xml:space="preserve"> </w:t>
      </w:r>
    </w:p>
    <w:p w:rsidR="003A48DD" w:rsidRPr="006D29C3" w:rsidRDefault="00B63DB4">
      <w:pPr>
        <w:spacing w:after="0" w:line="259" w:lineRule="auto"/>
        <w:ind w:right="0" w:firstLine="0"/>
        <w:jc w:val="left"/>
        <w:rPr>
          <w:lang w:val="uk-UA"/>
        </w:rPr>
      </w:pPr>
      <w:r w:rsidRPr="006D29C3">
        <w:rPr>
          <w:rFonts w:ascii="Arial" w:eastAsia="Arial" w:hAnsi="Arial" w:cs="Arial"/>
          <w:sz w:val="13"/>
          <w:lang w:val="uk-UA"/>
        </w:rPr>
        <w:lastRenderedPageBreak/>
        <w:t>*</w:t>
      </w:r>
    </w:p>
    <w:p w:rsidR="003A48DD" w:rsidRPr="006D29C3" w:rsidRDefault="00B63DB4">
      <w:pPr>
        <w:spacing w:after="0" w:line="259" w:lineRule="auto"/>
        <w:ind w:left="50" w:right="0" w:firstLine="0"/>
        <w:jc w:val="left"/>
        <w:rPr>
          <w:lang w:val="uk-UA"/>
        </w:rPr>
      </w:pPr>
      <w:r w:rsidRPr="006D29C3">
        <w:rPr>
          <w:rFonts w:ascii="Arial" w:eastAsia="Arial" w:hAnsi="Arial" w:cs="Arial"/>
          <w:sz w:val="20"/>
          <w:lang w:val="uk-UA"/>
        </w:rPr>
        <w:t xml:space="preserve"> </w:t>
      </w:r>
      <w:r w:rsidRPr="006D29C3">
        <w:rPr>
          <w:rFonts w:ascii="Arial" w:eastAsia="Arial" w:hAnsi="Arial" w:cs="Arial"/>
          <w:b/>
          <w:i/>
          <w:sz w:val="16"/>
          <w:lang w:val="uk-UA"/>
        </w:rPr>
        <w:t xml:space="preserve">© Назаренко Л. М., </w:t>
      </w:r>
      <w:proofErr w:type="spellStart"/>
      <w:r w:rsidRPr="006D29C3">
        <w:rPr>
          <w:rFonts w:ascii="Arial" w:eastAsia="Arial" w:hAnsi="Arial" w:cs="Arial"/>
          <w:b/>
          <w:i/>
          <w:sz w:val="16"/>
          <w:lang w:val="uk-UA"/>
        </w:rPr>
        <w:t>Підгатець</w:t>
      </w:r>
      <w:proofErr w:type="spellEnd"/>
      <w:r w:rsidRPr="006D29C3">
        <w:rPr>
          <w:rFonts w:ascii="Arial" w:eastAsia="Arial" w:hAnsi="Arial" w:cs="Arial"/>
          <w:b/>
          <w:i/>
          <w:sz w:val="16"/>
          <w:lang w:val="uk-UA"/>
        </w:rPr>
        <w:t xml:space="preserve"> О. С.  </w:t>
      </w:r>
    </w:p>
    <w:p w:rsidR="003A48DD" w:rsidRPr="006D29C3" w:rsidRDefault="00B63DB4">
      <w:pPr>
        <w:ind w:left="-15" w:right="51" w:firstLine="0"/>
        <w:rPr>
          <w:lang w:val="uk-UA"/>
        </w:rPr>
      </w:pPr>
      <w:r w:rsidRPr="006D29C3">
        <w:rPr>
          <w:lang w:val="uk-UA"/>
        </w:rPr>
        <w:t>Конвенцію ООН «Про права дитини», згідно із чим «… усі діти мають право на освіту, і, як наслідок цього, право на прогрес» [1, 154]. Надалі уряд України здійснив декілька прогресивних кроків у напрямі реалізації права кожної дитини з особливими ос</w:t>
      </w:r>
      <w:r w:rsidRPr="006D29C3">
        <w:rPr>
          <w:lang w:val="uk-UA"/>
        </w:rPr>
        <w:t xml:space="preserve">вітніми потребами навчатися в загальноосвітньому навчальному закладі за місцем проживання із забезпеченням усіх необхідних для цього умов.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>Досліджуючи стан впровадження інклюзивної освіти в Україні, починаючи з 1996 року Міжнародний фонд «Відродження» сп</w:t>
      </w:r>
      <w:r w:rsidRPr="006D29C3">
        <w:rPr>
          <w:lang w:val="uk-UA"/>
        </w:rPr>
        <w:t>ільно з іншими вітчизняними та міжнародними неурядовими організаціями реалізує проекти за напрямом «Інклюзивна освіта». Це – освітній моніторинг, науково</w:t>
      </w:r>
      <w:r w:rsidR="006D29C3">
        <w:rPr>
          <w:lang w:val="uk-UA"/>
        </w:rPr>
        <w:t>-</w:t>
      </w:r>
      <w:r w:rsidRPr="006D29C3">
        <w:rPr>
          <w:lang w:val="uk-UA"/>
        </w:rPr>
        <w:t>практичні конференції, підготовка та підвищення кваліфікації педагогів для роботи в інклюзивних класах,</w:t>
      </w:r>
      <w:r w:rsidRPr="006D29C3">
        <w:rPr>
          <w:lang w:val="uk-UA"/>
        </w:rPr>
        <w:t xml:space="preserve"> створення інформаційних і </w:t>
      </w:r>
      <w:proofErr w:type="spellStart"/>
      <w:r w:rsidRPr="006D29C3">
        <w:rPr>
          <w:lang w:val="uk-UA"/>
        </w:rPr>
        <w:t>адвокаційних</w:t>
      </w:r>
      <w:proofErr w:type="spellEnd"/>
      <w:r w:rsidRPr="006D29C3">
        <w:rPr>
          <w:lang w:val="uk-UA"/>
        </w:rPr>
        <w:t xml:space="preserve"> кампаній, ресурсних центрів із питань навчання та соціальної адаптації дітей з особливими потребами, видання методичної літератури для вчителів, директорів шкіл тощо. Питання впровадження інклюзивного навчання було в</w:t>
      </w:r>
      <w:r w:rsidRPr="006D29C3">
        <w:rPr>
          <w:lang w:val="uk-UA"/>
        </w:rPr>
        <w:t>регульовано законодавчо 6 липня 2010 року шляхом внесення змін до законодавства про загальну середню освіту. Окрім того, 15 серпня 2011 року постановою Кабінету Міністрів України за N 872 затверджено Порядок організації інклюзивного навчання в загальноосві</w:t>
      </w:r>
      <w:r w:rsidRPr="006D29C3">
        <w:rPr>
          <w:lang w:val="uk-UA"/>
        </w:rPr>
        <w:t>тніх навчальних закладах. Цей документ є практичним втіленням ідей і положень, закладених Конвенцією про права інвалідів, низкою указів Президента України щодо підвищення якості освіти, міжнародними програмами щодо забезпечення прав дітей з особливими осві</w:t>
      </w:r>
      <w:r w:rsidRPr="006D29C3">
        <w:rPr>
          <w:lang w:val="uk-UA"/>
        </w:rPr>
        <w:t>тніми потребами на отримання якісної освіти. Ухвалення зазначених документів сприяло системному запровадженню інклюзивного навчання: урегульовано комплекс питань, пов’язаних з організацією навчально</w:t>
      </w:r>
      <w:r w:rsidR="006D29C3">
        <w:rPr>
          <w:lang w:val="uk-UA"/>
        </w:rPr>
        <w:t>-</w:t>
      </w:r>
      <w:r w:rsidRPr="006D29C3">
        <w:rPr>
          <w:lang w:val="uk-UA"/>
        </w:rPr>
        <w:t>виховного процесу та створенням відповідних соціально-педа</w:t>
      </w:r>
      <w:r w:rsidRPr="006D29C3">
        <w:rPr>
          <w:lang w:val="uk-UA"/>
        </w:rPr>
        <w:t>гогічних умов; приведенням системи освітньої діяльності у відповідність до потреб дитини та сім’ї; відповідною підготовкою педагогічних працівників до роботи з дітьми цієї категорії. При розробленні Порядку було використано досвід 22 експериментальних навч</w:t>
      </w:r>
      <w:r w:rsidRPr="006D29C3">
        <w:rPr>
          <w:lang w:val="uk-UA"/>
        </w:rPr>
        <w:t xml:space="preserve">альних закладів, залучених у 2001 році до реалізації програми Всеукраїнського експерименту «Соціальна адаптація та інтеграція в суспільство дітей, які потребують корекції фізичного та (або) розумового розвитку, шляхом запровадження інклюзивного навчання». </w:t>
      </w:r>
      <w:r w:rsidRPr="006D29C3">
        <w:rPr>
          <w:lang w:val="uk-UA"/>
        </w:rPr>
        <w:t xml:space="preserve">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 xml:space="preserve">Позитивно на розробку Концепції інклюзивної освіти вплинули результати міжнародного освітнього проекту </w:t>
      </w:r>
      <w:r w:rsidRPr="006D29C3">
        <w:rPr>
          <w:lang w:val="uk-UA"/>
        </w:rPr>
        <w:lastRenderedPageBreak/>
        <w:t xml:space="preserve">«Громадянська освіта – Україна», який був успішно реалізований у 20052008 рр. </w:t>
      </w:r>
      <w:r w:rsidRPr="006D29C3">
        <w:rPr>
          <w:lang w:val="uk-UA"/>
        </w:rPr>
        <w:t xml:space="preserve">за підтримки Європейського Союзу й партнерства з Міністерством освіти і науки України.  </w:t>
      </w:r>
    </w:p>
    <w:p w:rsidR="003A48DD" w:rsidRPr="006D29C3" w:rsidRDefault="00B63DB4">
      <w:pPr>
        <w:spacing w:after="26"/>
        <w:ind w:left="-15" w:right="51"/>
        <w:rPr>
          <w:lang w:val="uk-UA"/>
        </w:rPr>
      </w:pPr>
      <w:r w:rsidRPr="006D29C3">
        <w:rPr>
          <w:lang w:val="uk-UA"/>
        </w:rPr>
        <w:t xml:space="preserve">Інклюзія за визначенням науковців (Е. </w:t>
      </w:r>
      <w:proofErr w:type="spellStart"/>
      <w:r w:rsidRPr="006D29C3">
        <w:rPr>
          <w:lang w:val="uk-UA"/>
        </w:rPr>
        <w:t>Даніелс</w:t>
      </w:r>
      <w:proofErr w:type="spellEnd"/>
      <w:r w:rsidRPr="006D29C3">
        <w:rPr>
          <w:lang w:val="uk-UA"/>
        </w:rPr>
        <w:t xml:space="preserve">, М. </w:t>
      </w:r>
      <w:proofErr w:type="spellStart"/>
      <w:r w:rsidRPr="006D29C3">
        <w:rPr>
          <w:lang w:val="uk-UA"/>
        </w:rPr>
        <w:t>Св</w:t>
      </w:r>
      <w:bookmarkStart w:id="0" w:name="_GoBack"/>
      <w:bookmarkEnd w:id="0"/>
      <w:r w:rsidRPr="006D29C3">
        <w:rPr>
          <w:lang w:val="uk-UA"/>
        </w:rPr>
        <w:t>арник</w:t>
      </w:r>
      <w:proofErr w:type="spellEnd"/>
      <w:r w:rsidRPr="006D29C3">
        <w:rPr>
          <w:lang w:val="uk-UA"/>
        </w:rPr>
        <w:t xml:space="preserve">, К. </w:t>
      </w:r>
      <w:proofErr w:type="spellStart"/>
      <w:r w:rsidRPr="006D29C3">
        <w:rPr>
          <w:lang w:val="uk-UA"/>
        </w:rPr>
        <w:t>Статффорд</w:t>
      </w:r>
      <w:proofErr w:type="spellEnd"/>
      <w:r w:rsidRPr="006D29C3">
        <w:rPr>
          <w:lang w:val="uk-UA"/>
        </w:rPr>
        <w:t xml:space="preserve">, Н. Софій, П. </w:t>
      </w:r>
      <w:proofErr w:type="spellStart"/>
      <w:r w:rsidRPr="006D29C3">
        <w:rPr>
          <w:lang w:val="uk-UA"/>
        </w:rPr>
        <w:t>Троханіс</w:t>
      </w:r>
      <w:proofErr w:type="spellEnd"/>
      <w:r w:rsidRPr="006D29C3">
        <w:rPr>
          <w:lang w:val="uk-UA"/>
        </w:rPr>
        <w:t xml:space="preserve">) складається з таких компонентів: </w:t>
      </w:r>
    </w:p>
    <w:p w:rsidR="003A48DD" w:rsidRPr="006D29C3" w:rsidRDefault="00B63DB4">
      <w:pPr>
        <w:numPr>
          <w:ilvl w:val="0"/>
          <w:numId w:val="1"/>
        </w:numPr>
        <w:ind w:right="51"/>
        <w:rPr>
          <w:lang w:val="uk-UA"/>
        </w:rPr>
      </w:pPr>
      <w:r w:rsidRPr="006D29C3">
        <w:rPr>
          <w:lang w:val="uk-UA"/>
        </w:rPr>
        <w:t>залучення всіх дітей з особливими пот</w:t>
      </w:r>
      <w:r w:rsidRPr="006D29C3">
        <w:rPr>
          <w:lang w:val="uk-UA"/>
        </w:rPr>
        <w:t xml:space="preserve">ребами до тих навчальних закладів, які вони б відвідували, якби не мали вад; </w:t>
      </w:r>
    </w:p>
    <w:p w:rsidR="003A48DD" w:rsidRPr="006D29C3" w:rsidRDefault="00B63DB4">
      <w:pPr>
        <w:numPr>
          <w:ilvl w:val="0"/>
          <w:numId w:val="1"/>
        </w:numPr>
        <w:ind w:right="51"/>
        <w:rPr>
          <w:lang w:val="uk-UA"/>
        </w:rPr>
      </w:pPr>
      <w:r w:rsidRPr="006D29C3">
        <w:rPr>
          <w:lang w:val="uk-UA"/>
        </w:rPr>
        <w:t xml:space="preserve">кількість дітей з особливими потребами в школах і класах природно пропорційна їхній загальній кількості в населеному пункті; </w:t>
      </w:r>
    </w:p>
    <w:p w:rsidR="003A48DD" w:rsidRPr="006D29C3" w:rsidRDefault="00B63DB4">
      <w:pPr>
        <w:numPr>
          <w:ilvl w:val="0"/>
          <w:numId w:val="1"/>
        </w:numPr>
        <w:ind w:right="51"/>
        <w:rPr>
          <w:lang w:val="uk-UA"/>
        </w:rPr>
      </w:pPr>
      <w:r w:rsidRPr="006D29C3">
        <w:rPr>
          <w:lang w:val="uk-UA"/>
        </w:rPr>
        <w:t>прийняття всіх дітей без винятку та об’єднання в змі</w:t>
      </w:r>
      <w:r w:rsidRPr="006D29C3">
        <w:rPr>
          <w:lang w:val="uk-UA"/>
        </w:rPr>
        <w:t xml:space="preserve">шані групи; </w:t>
      </w:r>
    </w:p>
    <w:p w:rsidR="003A48DD" w:rsidRPr="006D29C3" w:rsidRDefault="00B63DB4">
      <w:pPr>
        <w:numPr>
          <w:ilvl w:val="0"/>
          <w:numId w:val="1"/>
        </w:numPr>
        <w:ind w:right="51"/>
        <w:rPr>
          <w:lang w:val="uk-UA"/>
        </w:rPr>
      </w:pPr>
      <w:r w:rsidRPr="006D29C3">
        <w:rPr>
          <w:lang w:val="uk-UA"/>
        </w:rPr>
        <w:t xml:space="preserve">зарахування дітей з особливими потребами в класи відповідно до їхньої вікової категорії та року навчання; </w:t>
      </w:r>
    </w:p>
    <w:p w:rsidR="003A48DD" w:rsidRPr="006D29C3" w:rsidRDefault="00B63DB4">
      <w:pPr>
        <w:numPr>
          <w:ilvl w:val="0"/>
          <w:numId w:val="1"/>
        </w:numPr>
        <w:ind w:right="51"/>
        <w:rPr>
          <w:lang w:val="uk-UA"/>
        </w:rPr>
      </w:pPr>
      <w:r w:rsidRPr="006D29C3">
        <w:rPr>
          <w:lang w:val="uk-UA"/>
        </w:rPr>
        <w:t xml:space="preserve">координація, що здійснюється на місцях, управління навчальним процесом та розподілом ресурсів; </w:t>
      </w:r>
    </w:p>
    <w:p w:rsidR="003A48DD" w:rsidRPr="006D29C3" w:rsidRDefault="00B63DB4">
      <w:pPr>
        <w:numPr>
          <w:ilvl w:val="0"/>
          <w:numId w:val="1"/>
        </w:numPr>
        <w:ind w:right="51"/>
        <w:rPr>
          <w:lang w:val="uk-UA"/>
        </w:rPr>
      </w:pPr>
      <w:r w:rsidRPr="006D29C3">
        <w:rPr>
          <w:lang w:val="uk-UA"/>
        </w:rPr>
        <w:t>децентралізований підхід до навчання, пр</w:t>
      </w:r>
      <w:r w:rsidRPr="006D29C3">
        <w:rPr>
          <w:lang w:val="uk-UA"/>
        </w:rPr>
        <w:t xml:space="preserve">инцип ефективності як провідний у роботі школи [2; 4].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>Інклюзивне навчання –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закладах</w:t>
      </w:r>
      <w:r w:rsidRPr="006D29C3">
        <w:rPr>
          <w:lang w:val="uk-UA"/>
        </w:rPr>
        <w:t xml:space="preserve"> на основі застосування особистісно орієнтованих методів навчання, з урахуванням індивідуальних особливостей навчально-пізнавальної діяльності таких дітей [3].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>Мета інклюзивного навчання – це реалізація права дітей з особливими освітніми потребами на осв</w:t>
      </w:r>
      <w:r w:rsidRPr="006D29C3">
        <w:rPr>
          <w:lang w:val="uk-UA"/>
        </w:rPr>
        <w:t>іту за місцем проживання, їх соціалізація та інтеграція в суспільство, залучення сім’ї до участі в навчально-виховному процесі. Звідси основними його завданнями постають: здобуття дітьми з особливими освітніми потребами освіти відповідного рівня в середови</w:t>
      </w:r>
      <w:r w:rsidRPr="006D29C3">
        <w:rPr>
          <w:lang w:val="uk-UA"/>
        </w:rPr>
        <w:t xml:space="preserve">щі здорових однолітків відповідно до Державного стандарту загальної середньої освіти; забезпечення різнобічного розвитку дітей, реалізація їх здібностей; створення </w:t>
      </w:r>
      <w:proofErr w:type="spellStart"/>
      <w:r w:rsidRPr="006D29C3">
        <w:rPr>
          <w:lang w:val="uk-UA"/>
        </w:rPr>
        <w:t>освітньо</w:t>
      </w:r>
      <w:proofErr w:type="spellEnd"/>
      <w:r w:rsidRPr="006D29C3">
        <w:rPr>
          <w:lang w:val="uk-UA"/>
        </w:rPr>
        <w:t>-реабілітаційного середовища для задоволення освітніх потреб учнів з особливостями п</w:t>
      </w:r>
      <w:r w:rsidRPr="006D29C3">
        <w:rPr>
          <w:lang w:val="uk-UA"/>
        </w:rPr>
        <w:t>сихофізичного розвитку; створення позитивного мікроклімату в загальноосвітньому навчальному закладі з інклюзивним навчанням, формування активного міжособистісного спілкування дітей з особливими освітніми потребами з іншими учнями; забезпечення диференційов</w:t>
      </w:r>
      <w:r w:rsidRPr="006D29C3">
        <w:rPr>
          <w:lang w:val="uk-UA"/>
        </w:rPr>
        <w:t xml:space="preserve">аного психолого-педагогічного супроводу їхнього розвитку; надання консультативної допомоги сім’ям, залучення батьків до розроблення індивідуальних планів та програм навчання.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lastRenderedPageBreak/>
        <w:t>Проведені фахівцями соціально-психологічні дослідження підтверджують переваги і</w:t>
      </w:r>
      <w:r w:rsidRPr="006D29C3">
        <w:rPr>
          <w:lang w:val="uk-UA"/>
        </w:rPr>
        <w:t xml:space="preserve">нклюзивної освіти, а саме: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 xml:space="preserve">а) програми інклюзивної освіти надають можливість дітям і учням із вадами взаємодіяти зі звичайними дітьми, спостерігати за ними, наслідувати їх, отримувати такий соціальний досвід, як і їхні здорові товариші;  </w:t>
      </w:r>
    </w:p>
    <w:p w:rsidR="003A48DD" w:rsidRPr="006D29C3" w:rsidRDefault="00B63DB4">
      <w:pPr>
        <w:spacing w:after="0" w:line="259" w:lineRule="auto"/>
        <w:ind w:left="10" w:right="46" w:hanging="10"/>
        <w:jc w:val="right"/>
        <w:rPr>
          <w:lang w:val="uk-UA"/>
        </w:rPr>
      </w:pPr>
      <w:r w:rsidRPr="006D29C3">
        <w:rPr>
          <w:lang w:val="uk-UA"/>
        </w:rPr>
        <w:t>б) спільне навч</w:t>
      </w:r>
      <w:r w:rsidRPr="006D29C3">
        <w:rPr>
          <w:lang w:val="uk-UA"/>
        </w:rPr>
        <w:t xml:space="preserve">ання стає корисним і для дітей без вад, </w:t>
      </w:r>
    </w:p>
    <w:p w:rsidR="003A48DD" w:rsidRPr="006D29C3" w:rsidRDefault="00B63DB4">
      <w:pPr>
        <w:ind w:left="-15" w:right="51" w:firstLine="0"/>
        <w:rPr>
          <w:lang w:val="uk-UA"/>
        </w:rPr>
      </w:pPr>
      <w:r w:rsidRPr="006D29C3">
        <w:rPr>
          <w:lang w:val="uk-UA"/>
        </w:rPr>
        <w:t>оскільки вони з раннього віку стають чутливими та толерантними до потреб інших, уміють позитивно сприймати не схожих на них людей, у них виявляється вища соціальна відповідальність, більша впевненість у собі, що спр</w:t>
      </w:r>
      <w:r w:rsidRPr="006D29C3">
        <w:rPr>
          <w:lang w:val="uk-UA"/>
        </w:rPr>
        <w:t xml:space="preserve">ияє їх особистісному розвитку;  </w:t>
      </w:r>
    </w:p>
    <w:p w:rsidR="003A48DD" w:rsidRPr="006D29C3" w:rsidRDefault="00B63DB4">
      <w:pPr>
        <w:spacing w:after="0" w:line="259" w:lineRule="auto"/>
        <w:ind w:left="10" w:right="46" w:hanging="10"/>
        <w:jc w:val="right"/>
        <w:rPr>
          <w:lang w:val="uk-UA"/>
        </w:rPr>
      </w:pPr>
      <w:r w:rsidRPr="006D29C3">
        <w:rPr>
          <w:lang w:val="uk-UA"/>
        </w:rPr>
        <w:t xml:space="preserve">в) усі діти в системі інклюзивної освіти отримують </w:t>
      </w:r>
      <w:proofErr w:type="spellStart"/>
      <w:r w:rsidRPr="006D29C3">
        <w:rPr>
          <w:lang w:val="uk-UA"/>
        </w:rPr>
        <w:t>підтрим</w:t>
      </w:r>
      <w:proofErr w:type="spellEnd"/>
      <w:r w:rsidRPr="006D29C3">
        <w:rPr>
          <w:lang w:val="uk-UA"/>
        </w:rPr>
        <w:t>-</w:t>
      </w:r>
    </w:p>
    <w:p w:rsidR="003A48DD" w:rsidRPr="006D29C3" w:rsidRDefault="00B63DB4">
      <w:pPr>
        <w:ind w:left="-15" w:right="51" w:firstLine="0"/>
        <w:rPr>
          <w:lang w:val="uk-UA"/>
        </w:rPr>
      </w:pPr>
      <w:r w:rsidRPr="006D29C3">
        <w:rPr>
          <w:lang w:val="uk-UA"/>
        </w:rPr>
        <w:t xml:space="preserve">ку й досвід того, що кожна людина може долати труднощі й перешкоди й, таким чином, досягати значних успіхів [3].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>Світова практика інклюзивної педагогіки свідчить</w:t>
      </w:r>
      <w:r w:rsidRPr="006D29C3">
        <w:rPr>
          <w:lang w:val="uk-UA"/>
        </w:rPr>
        <w:t xml:space="preserve"> про її ціннісну значущість, адже «…школи, які основну вагу приділяють дітям, є тренувальним майданчиком для суспільства, орієнтованого на задоволення потреб своїх громадян, у якому панує повага до відмінностей і гідності всіх людей» [1, 156]. Інклюзивна ш</w:t>
      </w:r>
      <w:r w:rsidRPr="006D29C3">
        <w:rPr>
          <w:lang w:val="uk-UA"/>
        </w:rPr>
        <w:t xml:space="preserve">кола – заклад освіти, який забезпечує інклюзивну освіту як систему освітніх послуг, зокрема: адаптує навчальні програми та плани, фізичне середовище, методи та форми навчання, використовує існуючі в громаді ресурси, залучає батьків, співпрацює з фахівцями </w:t>
      </w:r>
      <w:r w:rsidRPr="006D29C3">
        <w:rPr>
          <w:lang w:val="uk-UA"/>
        </w:rPr>
        <w:t>для надання спеціальних послуг відповідно до різних потреб дітей, створює позитивний клімат в учнівському середовищі, зокрема та освітньому просторі загалом. Створення такого типу навчального закладу вимагає застосування інноваційних підходів до управління</w:t>
      </w:r>
      <w:r w:rsidRPr="006D29C3">
        <w:rPr>
          <w:lang w:val="uk-UA"/>
        </w:rPr>
        <w:t xml:space="preserve"> навчально-виховним процесом. Для розв’язання проблем, пов’язаних із відкриттям інклюзивних класів, керівникам школи необхідно мобілізувати як внутрішні, так і зовнішні ресурси, організувати додаткове навчання педагогів, забезпечити наявність спеціалістів:</w:t>
      </w:r>
      <w:r w:rsidRPr="006D29C3">
        <w:rPr>
          <w:lang w:val="uk-UA"/>
        </w:rPr>
        <w:t xml:space="preserve"> психологів, соціальних педагогів, асистентів учителя. Слід приділити увагу новому формату технічного устаткування, обладнання та утримання будівлі навчального закладу, прилеглої території, організації підвозу та харчування учнів з особливими освітніми пот</w:t>
      </w:r>
      <w:r w:rsidRPr="006D29C3">
        <w:rPr>
          <w:lang w:val="uk-UA"/>
        </w:rPr>
        <w:t>ребами. Ураховуючи, що педагоги, залучені до викладання предметів в інклюзивних класах, потребують отримання спеціальних знань, умінь і навичок. Задля цього слід подбати про проходження ними курсів підвищення кваліфікації та введення до мережі шкільних мет</w:t>
      </w:r>
      <w:r w:rsidRPr="006D29C3">
        <w:rPr>
          <w:lang w:val="uk-UA"/>
        </w:rPr>
        <w:t xml:space="preserve">одичних формувань постійно-діючого семінару.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 xml:space="preserve">Коли постало питання про впровадження інклюзивного навчання в Радянській ЗОШ І-ІІІ ступенів Білозерської </w:t>
      </w:r>
      <w:r w:rsidRPr="006D29C3">
        <w:rPr>
          <w:lang w:val="uk-UA"/>
        </w:rPr>
        <w:t xml:space="preserve">районної </w:t>
      </w:r>
      <w:r w:rsidRPr="006D29C3">
        <w:rPr>
          <w:lang w:val="uk-UA"/>
        </w:rPr>
        <w:lastRenderedPageBreak/>
        <w:t>ради Херсонської області необхідно було вжити ряд управлінських дій: вивчити додатково контингент учнів і виявити дітей, що потребують інклюзивного навчання; організувати проходження ними разом із батьками спеціального обстеження та отримання висн</w:t>
      </w:r>
      <w:r w:rsidRPr="006D29C3">
        <w:rPr>
          <w:lang w:val="uk-UA"/>
        </w:rPr>
        <w:t>овку районної психолого-медико-педагогічної консультації; створити банк даних про умови життя школярів у родині, а також їхні природні нахили, фізичні можливості, навчальні інтереси. Постало питання про забезпечення школи спеціалістами: психологом, учителе</w:t>
      </w:r>
      <w:r w:rsidRPr="006D29C3">
        <w:rPr>
          <w:lang w:val="uk-UA"/>
        </w:rPr>
        <w:t>м-дефектологом, асистентом учителя, логопедом, соціальним педагогом. Керівництвом спільно з відділом освіти, районним методичним кабінетом за підтримки КВНЗ «Херсонська академія неперервної освіти» було організовано 5-денний науково-практичний семінар, під</w:t>
      </w:r>
      <w:r w:rsidRPr="006D29C3">
        <w:rPr>
          <w:lang w:val="uk-UA"/>
        </w:rPr>
        <w:t xml:space="preserve"> час якого педагоги ознайомилися з нормативно-правовими документами, технологіями навчання, виховання й розвитку дітей з особливими освітніми потребами. З метою відкриття класів інклюзивної освіти адміністрація школи спільно зі спеціалістами розробили такі</w:t>
      </w:r>
      <w:r w:rsidRPr="006D29C3">
        <w:rPr>
          <w:lang w:val="uk-UA"/>
        </w:rPr>
        <w:t xml:space="preserve"> документи: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 xml:space="preserve">Наказ по школі про утворення класу з інклюзивним навчанням.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 xml:space="preserve">Програму навчання дітей з особливими освітніми потребами (у нашому випадку, для дітей із затримкою психічного розвитку).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 xml:space="preserve">Індивідуальну програма розвитку </w:t>
      </w:r>
      <w:r w:rsidRPr="006D29C3">
        <w:rPr>
          <w:lang w:val="uk-UA"/>
        </w:rPr>
        <w:t xml:space="preserve">дитини за розділами: загальна інформація про дитину; наявний рівень знань, умінь, навичок; вплив порушень розвитку дитини на її здатність до навчання; потреба в спеціальних і додаткових освітніх послугах; стан адаптації (модифікації).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>Індивідуальний навч</w:t>
      </w:r>
      <w:r w:rsidRPr="006D29C3">
        <w:rPr>
          <w:lang w:val="uk-UA"/>
        </w:rPr>
        <w:t xml:space="preserve">альний план, у кому передбачалися: спеціальні та додаткові освітні послуги (розклад занять дитини з учителем-логопедом, практичним психологом), залучення дітей до позакласної та позашкільної роботи.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 xml:space="preserve">Програма роботи з батьками.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>Програма роботи шкільного</w:t>
      </w:r>
      <w:r w:rsidRPr="006D29C3">
        <w:rPr>
          <w:lang w:val="uk-UA"/>
        </w:rPr>
        <w:t xml:space="preserve"> медико-психолого-педагогічного консиліуму.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 xml:space="preserve">Програма освітнього моніторингу.  </w:t>
      </w:r>
    </w:p>
    <w:p w:rsidR="003A48DD" w:rsidRPr="006D29C3" w:rsidRDefault="00B63DB4">
      <w:pPr>
        <w:numPr>
          <w:ilvl w:val="0"/>
          <w:numId w:val="2"/>
        </w:numPr>
        <w:ind w:right="51"/>
        <w:rPr>
          <w:lang w:val="uk-UA"/>
        </w:rPr>
      </w:pPr>
      <w:r w:rsidRPr="006D29C3">
        <w:rPr>
          <w:lang w:val="uk-UA"/>
        </w:rPr>
        <w:t xml:space="preserve">Організація підвищення кваліфікації педагогічних працівників.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>Слід зауважити, що першочерговим етапом упровадження інклюзивного навчання є просвітницька робота з батьками що</w:t>
      </w:r>
      <w:r w:rsidRPr="006D29C3">
        <w:rPr>
          <w:lang w:val="uk-UA"/>
        </w:rPr>
        <w:t xml:space="preserve">до роз’яснення переваг інклюзивного навчання в процесі здобуття освіти їхніми дітьми та подальшої соціальної адаптації. Так, наприклад, відповідно до контингенту учнів у нашій школі нараховується 11 дітей, які потребують особливих освітніх </w:t>
      </w:r>
      <w:r w:rsidRPr="006D29C3">
        <w:rPr>
          <w:lang w:val="uk-UA"/>
        </w:rPr>
        <w:lastRenderedPageBreak/>
        <w:t>послуг, проте по</w:t>
      </w:r>
      <w:r w:rsidRPr="006D29C3">
        <w:rPr>
          <w:lang w:val="uk-UA"/>
        </w:rPr>
        <w:t>ки що виявили бажання батьки тільки однієї дитини, яка навчається в 4 класі. За період часу відкриття інклюзивного класу, з вересня 2013 року, слід відмітити певні позитивні зрушення в розвитку дитини: поліпшилась вимова шиплячих звуків; підвищилась якість</w:t>
      </w:r>
      <w:r w:rsidRPr="006D29C3">
        <w:rPr>
          <w:lang w:val="uk-UA"/>
        </w:rPr>
        <w:t xml:space="preserve"> техніки читання; дівчинка стала надавати короткі відповіді на запитання за змістом тексту; нею менше допускається помилок під час письма під диктовку. Вона із задоволенням відвідує гурток «Умілі руки», де навчилася в'язати; активно спілкується з однолітка</w:t>
      </w:r>
      <w:r w:rsidRPr="006D29C3">
        <w:rPr>
          <w:lang w:val="uk-UA"/>
        </w:rPr>
        <w:t>ми. Окрім того, ми помітили, що за цей час змінилася професійна позиція педагогів, батьківської громадськості й, нарешті, ставлення дітей один до одного в інклюзивних учнівських колективах. Проте ми дійшла висновку, що роботу з батьками слід розпочинати, к</w:t>
      </w:r>
      <w:r w:rsidRPr="006D29C3">
        <w:rPr>
          <w:lang w:val="uk-UA"/>
        </w:rPr>
        <w:t>оли дітям виповнюється 3-5 років, по можливості залучивши їх до перебування в дошкільному середовищі. Це сприятиме організації інклюзивного навчання дітей у більш ранньому віці, що, зрозуміло, позитивно впливатиме на рівень засвоєння ними навчальних програ</w:t>
      </w:r>
      <w:r w:rsidRPr="006D29C3">
        <w:rPr>
          <w:lang w:val="uk-UA"/>
        </w:rPr>
        <w:t xml:space="preserve">м.  </w:t>
      </w:r>
    </w:p>
    <w:p w:rsidR="003A48DD" w:rsidRPr="006D29C3" w:rsidRDefault="00B63DB4">
      <w:pPr>
        <w:ind w:left="-15" w:right="51"/>
        <w:rPr>
          <w:lang w:val="uk-UA"/>
        </w:rPr>
      </w:pPr>
      <w:r w:rsidRPr="006D29C3">
        <w:rPr>
          <w:lang w:val="uk-UA"/>
        </w:rPr>
        <w:t xml:space="preserve">Отже, як свідчить освітня практика, проблема впровадження інклюзивної освіти є не лише ідеєю сьогодення, але й такою, що може бути реально розв’язана засобами навчально-виховного процесу. Це, у свою чергу, потребує від керівництва навчальних закладів </w:t>
      </w:r>
      <w:r w:rsidRPr="006D29C3">
        <w:rPr>
          <w:lang w:val="uk-UA"/>
        </w:rPr>
        <w:t>подолання соціальних, організаційних, адаптивних перешкод через формування державної стратегії інклюзивної освіти, розробки фінансових механізмів її утримання, оновлення системи професійної підготовки вчителя, підвищення рівня спеціальної педагогічної осві</w:t>
      </w:r>
      <w:r w:rsidRPr="006D29C3">
        <w:rPr>
          <w:lang w:val="uk-UA"/>
        </w:rPr>
        <w:t xml:space="preserve">ти батьків і громадськості, розробку методичних прийомів і технологій освітньої інклюзії, адаптацію шкільних приміщень відповідно до потреб дітей з особливими освітніми потребами.  </w:t>
      </w:r>
    </w:p>
    <w:p w:rsidR="003A48DD" w:rsidRPr="006D29C3" w:rsidRDefault="00B63DB4">
      <w:pPr>
        <w:spacing w:after="99"/>
        <w:ind w:left="-15" w:right="51"/>
        <w:rPr>
          <w:lang w:val="uk-UA"/>
        </w:rPr>
      </w:pPr>
      <w:r w:rsidRPr="006D29C3">
        <w:rPr>
          <w:lang w:val="uk-UA"/>
        </w:rPr>
        <w:t>Отже, керівники шкіл відіграють важливу роль в адаптації шкільного середов</w:t>
      </w:r>
      <w:r w:rsidRPr="006D29C3">
        <w:rPr>
          <w:lang w:val="uk-UA"/>
        </w:rPr>
        <w:t>ища до дітей з особливими освітніми потребами. Вони повинні розробляти та застосовувати більш гнучку процедуру управління, перерозподілу навчальних ресурсів, урізноманітнювати спектр освітніх послуг, мобілізувати професійний потенціал педагогічного колекти</w:t>
      </w:r>
      <w:r w:rsidRPr="006D29C3">
        <w:rPr>
          <w:lang w:val="uk-UA"/>
        </w:rPr>
        <w:t xml:space="preserve">ву, вести роз’яснювальну роботу з батьками, захищати права дітей зазначеної групи на рівний доступ до якісної освіти.  </w:t>
      </w:r>
    </w:p>
    <w:p w:rsidR="003A48DD" w:rsidRPr="006D29C3" w:rsidRDefault="00B63DB4">
      <w:pPr>
        <w:spacing w:after="123" w:line="259" w:lineRule="auto"/>
        <w:ind w:right="0" w:firstLine="0"/>
        <w:jc w:val="left"/>
        <w:rPr>
          <w:lang w:val="uk-UA"/>
        </w:rPr>
      </w:pPr>
      <w:r w:rsidRPr="006D29C3">
        <w:rPr>
          <w:b/>
          <w:sz w:val="16"/>
          <w:lang w:val="uk-UA"/>
        </w:rPr>
        <w:t xml:space="preserve">Література: </w:t>
      </w:r>
    </w:p>
    <w:p w:rsidR="003A48DD" w:rsidRPr="006D29C3" w:rsidRDefault="00B63DB4">
      <w:pPr>
        <w:numPr>
          <w:ilvl w:val="0"/>
          <w:numId w:val="3"/>
        </w:numPr>
        <w:spacing w:after="11" w:line="247" w:lineRule="auto"/>
        <w:ind w:right="0" w:hanging="360"/>
        <w:jc w:val="left"/>
        <w:rPr>
          <w:lang w:val="uk-UA"/>
        </w:rPr>
      </w:pPr>
      <w:r w:rsidRPr="006D29C3">
        <w:rPr>
          <w:sz w:val="16"/>
          <w:lang w:val="uk-UA"/>
        </w:rPr>
        <w:t xml:space="preserve">Громадянська освіта: теорія і методика навчання / Т. </w:t>
      </w:r>
      <w:proofErr w:type="spellStart"/>
      <w:r w:rsidRPr="006D29C3">
        <w:rPr>
          <w:sz w:val="16"/>
          <w:lang w:val="uk-UA"/>
        </w:rPr>
        <w:t>Асламова</w:t>
      </w:r>
      <w:proofErr w:type="spellEnd"/>
      <w:r w:rsidRPr="006D29C3">
        <w:rPr>
          <w:sz w:val="16"/>
          <w:lang w:val="uk-UA"/>
        </w:rPr>
        <w:t xml:space="preserve">, </w:t>
      </w:r>
    </w:p>
    <w:p w:rsidR="003A48DD" w:rsidRPr="006D29C3" w:rsidRDefault="00B63DB4">
      <w:pPr>
        <w:spacing w:after="11" w:line="247" w:lineRule="auto"/>
        <w:ind w:left="360" w:right="0" w:firstLine="0"/>
        <w:jc w:val="left"/>
        <w:rPr>
          <w:lang w:val="uk-UA"/>
        </w:rPr>
      </w:pPr>
      <w:r w:rsidRPr="006D29C3">
        <w:rPr>
          <w:sz w:val="16"/>
          <w:lang w:val="uk-UA"/>
        </w:rPr>
        <w:t xml:space="preserve">Т. </w:t>
      </w:r>
      <w:proofErr w:type="spellStart"/>
      <w:r w:rsidRPr="006D29C3">
        <w:rPr>
          <w:sz w:val="16"/>
          <w:lang w:val="uk-UA"/>
        </w:rPr>
        <w:t>Бакка</w:t>
      </w:r>
      <w:proofErr w:type="spellEnd"/>
      <w:r w:rsidRPr="006D29C3">
        <w:rPr>
          <w:sz w:val="16"/>
          <w:lang w:val="uk-UA"/>
        </w:rPr>
        <w:t xml:space="preserve">, В. </w:t>
      </w:r>
      <w:proofErr w:type="spellStart"/>
      <w:r w:rsidRPr="006D29C3">
        <w:rPr>
          <w:sz w:val="16"/>
          <w:lang w:val="uk-UA"/>
        </w:rPr>
        <w:t>Бортніков</w:t>
      </w:r>
      <w:proofErr w:type="spellEnd"/>
      <w:r w:rsidRPr="006D29C3">
        <w:rPr>
          <w:sz w:val="16"/>
          <w:lang w:val="uk-UA"/>
        </w:rPr>
        <w:t xml:space="preserve"> та ін. – К.: Етна-1, 2008. – 174 с. </w:t>
      </w:r>
      <w:r w:rsidRPr="006D29C3">
        <w:rPr>
          <w:sz w:val="16"/>
          <w:lang w:val="uk-UA"/>
        </w:rPr>
        <w:t xml:space="preserve"> </w:t>
      </w:r>
    </w:p>
    <w:p w:rsidR="003A48DD" w:rsidRPr="006D29C3" w:rsidRDefault="00B63DB4">
      <w:pPr>
        <w:numPr>
          <w:ilvl w:val="0"/>
          <w:numId w:val="3"/>
        </w:numPr>
        <w:spacing w:after="11" w:line="247" w:lineRule="auto"/>
        <w:ind w:right="0" w:hanging="360"/>
        <w:jc w:val="left"/>
        <w:rPr>
          <w:lang w:val="uk-UA"/>
        </w:rPr>
      </w:pPr>
      <w:proofErr w:type="spellStart"/>
      <w:r w:rsidRPr="006D29C3">
        <w:rPr>
          <w:sz w:val="16"/>
          <w:lang w:val="uk-UA"/>
        </w:rPr>
        <w:t>Даніелс</w:t>
      </w:r>
      <w:proofErr w:type="spellEnd"/>
      <w:r w:rsidRPr="006D29C3">
        <w:rPr>
          <w:sz w:val="16"/>
          <w:lang w:val="uk-UA"/>
        </w:rPr>
        <w:t xml:space="preserve"> Е., </w:t>
      </w:r>
      <w:proofErr w:type="spellStart"/>
      <w:r w:rsidRPr="006D29C3">
        <w:rPr>
          <w:sz w:val="16"/>
          <w:lang w:val="uk-UA"/>
        </w:rPr>
        <w:t>Стаффорд</w:t>
      </w:r>
      <w:proofErr w:type="spellEnd"/>
      <w:r w:rsidRPr="006D29C3">
        <w:rPr>
          <w:sz w:val="16"/>
          <w:lang w:val="uk-UA"/>
        </w:rPr>
        <w:t xml:space="preserve"> К. Залучення дітей з особливими потребами до загальноосвітніх класів. – Л.: Надія, 2000. – 255 с.  </w:t>
      </w:r>
    </w:p>
    <w:p w:rsidR="003A48DD" w:rsidRPr="006D29C3" w:rsidRDefault="00B63DB4">
      <w:pPr>
        <w:numPr>
          <w:ilvl w:val="0"/>
          <w:numId w:val="3"/>
        </w:numPr>
        <w:spacing w:after="11" w:line="247" w:lineRule="auto"/>
        <w:ind w:right="0" w:hanging="360"/>
        <w:jc w:val="left"/>
        <w:rPr>
          <w:lang w:val="uk-UA"/>
        </w:rPr>
      </w:pPr>
      <w:proofErr w:type="spellStart"/>
      <w:r w:rsidRPr="006D29C3">
        <w:rPr>
          <w:sz w:val="16"/>
          <w:lang w:val="uk-UA"/>
        </w:rPr>
        <w:lastRenderedPageBreak/>
        <w:t>Колупаєва</w:t>
      </w:r>
      <w:proofErr w:type="spellEnd"/>
      <w:r w:rsidRPr="006D29C3">
        <w:rPr>
          <w:sz w:val="16"/>
          <w:lang w:val="uk-UA"/>
        </w:rPr>
        <w:t xml:space="preserve"> А. Інклюзивна освіта в теорії і практиці діяльності школи / А. </w:t>
      </w:r>
      <w:proofErr w:type="spellStart"/>
      <w:r w:rsidRPr="006D29C3">
        <w:rPr>
          <w:sz w:val="16"/>
          <w:lang w:val="uk-UA"/>
        </w:rPr>
        <w:t>Колупаєва</w:t>
      </w:r>
      <w:proofErr w:type="spellEnd"/>
      <w:r w:rsidRPr="006D29C3">
        <w:rPr>
          <w:sz w:val="16"/>
          <w:lang w:val="uk-UA"/>
        </w:rPr>
        <w:t xml:space="preserve"> // Директор школи. – 2011. – № 7. – С. 15-21.  </w:t>
      </w:r>
    </w:p>
    <w:p w:rsidR="003A48DD" w:rsidRPr="006D29C3" w:rsidRDefault="00B63DB4">
      <w:pPr>
        <w:numPr>
          <w:ilvl w:val="0"/>
          <w:numId w:val="3"/>
        </w:numPr>
        <w:spacing w:after="11" w:line="247" w:lineRule="auto"/>
        <w:ind w:right="0" w:hanging="360"/>
        <w:jc w:val="left"/>
        <w:rPr>
          <w:lang w:val="uk-UA"/>
        </w:rPr>
      </w:pPr>
      <w:r w:rsidRPr="006D29C3">
        <w:rPr>
          <w:sz w:val="16"/>
          <w:lang w:val="uk-UA"/>
        </w:rPr>
        <w:t>Со</w:t>
      </w:r>
      <w:r w:rsidRPr="006D29C3">
        <w:rPr>
          <w:sz w:val="16"/>
          <w:lang w:val="uk-UA"/>
        </w:rPr>
        <w:t xml:space="preserve">фій Н., </w:t>
      </w:r>
      <w:proofErr w:type="spellStart"/>
      <w:r w:rsidRPr="006D29C3">
        <w:rPr>
          <w:sz w:val="16"/>
          <w:lang w:val="uk-UA"/>
        </w:rPr>
        <w:t>Сварник</w:t>
      </w:r>
      <w:proofErr w:type="spellEnd"/>
      <w:r w:rsidRPr="006D29C3">
        <w:rPr>
          <w:sz w:val="16"/>
          <w:lang w:val="uk-UA"/>
        </w:rPr>
        <w:t xml:space="preserve"> М., </w:t>
      </w:r>
      <w:proofErr w:type="spellStart"/>
      <w:r w:rsidRPr="006D29C3">
        <w:rPr>
          <w:sz w:val="16"/>
          <w:lang w:val="uk-UA"/>
        </w:rPr>
        <w:t>Троханіс</w:t>
      </w:r>
      <w:proofErr w:type="spellEnd"/>
      <w:r w:rsidRPr="006D29C3">
        <w:rPr>
          <w:sz w:val="16"/>
          <w:lang w:val="uk-UA"/>
        </w:rPr>
        <w:t xml:space="preserve"> П. Права дітей з особливими освітніми потребами на рівний доступ до якісної освіти. – К., 2006. </w:t>
      </w:r>
    </w:p>
    <w:p w:rsidR="003A48DD" w:rsidRPr="006D29C3" w:rsidRDefault="00B63DB4">
      <w:pPr>
        <w:spacing w:after="11" w:line="247" w:lineRule="auto"/>
        <w:ind w:left="360" w:right="0" w:firstLine="0"/>
        <w:jc w:val="left"/>
        <w:rPr>
          <w:lang w:val="uk-UA"/>
        </w:rPr>
      </w:pPr>
      <w:r w:rsidRPr="006D29C3">
        <w:rPr>
          <w:sz w:val="16"/>
          <w:lang w:val="uk-UA"/>
        </w:rPr>
        <w:t xml:space="preserve">– 64 с.  </w:t>
      </w:r>
    </w:p>
    <w:p w:rsidR="003A48DD" w:rsidRDefault="00B63DB4">
      <w:pPr>
        <w:spacing w:after="0" w:line="259" w:lineRule="auto"/>
        <w:ind w:right="0" w:firstLine="0"/>
        <w:jc w:val="left"/>
        <w:rPr>
          <w:sz w:val="16"/>
          <w:lang w:val="uk-UA"/>
        </w:rPr>
      </w:pPr>
      <w:r w:rsidRPr="006D29C3">
        <w:rPr>
          <w:sz w:val="16"/>
          <w:lang w:val="uk-UA"/>
        </w:rPr>
        <w:t xml:space="preserve"> </w:t>
      </w: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p w:rsidR="006D29C3" w:rsidRPr="006D29C3" w:rsidRDefault="006D29C3">
      <w:pPr>
        <w:spacing w:after="0" w:line="259" w:lineRule="auto"/>
        <w:ind w:right="0" w:firstLine="0"/>
        <w:jc w:val="left"/>
        <w:rPr>
          <w:lang w:val="uk-UA"/>
        </w:rPr>
      </w:pPr>
    </w:p>
    <w:sectPr w:rsidR="006D29C3" w:rsidRPr="006D29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3" w:h="11906"/>
      <w:pgMar w:top="1086" w:right="1411" w:bottom="1032" w:left="852" w:header="504" w:footer="551" w:gutter="0"/>
      <w:pgNumType w:start="4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DB4" w:rsidRDefault="00B63DB4">
      <w:pPr>
        <w:spacing w:after="0" w:line="240" w:lineRule="auto"/>
      </w:pPr>
      <w:r>
        <w:separator/>
      </w:r>
    </w:p>
  </w:endnote>
  <w:endnote w:type="continuationSeparator" w:id="0">
    <w:p w:rsidR="00B63DB4" w:rsidRDefault="00B63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8DD" w:rsidRDefault="00B63DB4">
    <w:pPr>
      <w:spacing w:after="9" w:line="259" w:lineRule="auto"/>
      <w:ind w:left="12" w:right="0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tabs>
        <w:tab w:val="center" w:pos="3061"/>
      </w:tabs>
      <w:spacing w:after="22" w:line="259" w:lineRule="auto"/>
      <w:ind w:right="0" w:firstLine="0"/>
      <w:jc w:val="left"/>
    </w:pPr>
    <w:r>
      <w:rPr>
        <w:rFonts w:ascii="Arial" w:eastAsia="Arial" w:hAnsi="Arial" w:cs="Arial"/>
        <w:sz w:val="20"/>
      </w:rPr>
      <w:fldChar w:fldCharType="begin"/>
    </w:r>
    <w:r>
      <w:rPr>
        <w:rFonts w:ascii="Arial" w:eastAsia="Arial" w:hAnsi="Arial" w:cs="Arial"/>
        <w:sz w:val="20"/>
      </w:rPr>
      <w:instrText xml:space="preserve"> PAGE   \* MERGEFORMAT </w:instrText>
    </w:r>
    <w:r>
      <w:rPr>
        <w:rFonts w:ascii="Arial" w:eastAsia="Arial" w:hAnsi="Arial" w:cs="Arial"/>
        <w:sz w:val="20"/>
      </w:rPr>
      <w:fldChar w:fldCharType="separate"/>
    </w:r>
    <w:r>
      <w:rPr>
        <w:rFonts w:ascii="Arial" w:eastAsia="Arial" w:hAnsi="Arial" w:cs="Arial"/>
        <w:sz w:val="20"/>
      </w:rPr>
      <w:t>42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ab/>
    </w:r>
    <w:r>
      <w:rPr>
        <w:rFonts w:ascii="Arial" w:eastAsia="Arial" w:hAnsi="Arial" w:cs="Arial"/>
        <w:i/>
        <w:sz w:val="14"/>
      </w:rPr>
      <w:t>Т</w:t>
    </w:r>
    <w:r>
      <w:rPr>
        <w:rFonts w:ascii="Arial" w:eastAsia="Arial" w:hAnsi="Arial" w:cs="Arial"/>
        <w:i/>
        <w:sz w:val="11"/>
      </w:rPr>
      <w:t>АВРІЙСЬКИЙ ВІСНИК ОСВІТИ</w:t>
    </w:r>
    <w:r>
      <w:rPr>
        <w:rFonts w:ascii="Arial" w:eastAsia="Arial" w:hAnsi="Arial" w:cs="Arial"/>
        <w:b/>
        <w:i/>
        <w:sz w:val="14"/>
      </w:rPr>
      <w:t>.</w:t>
    </w:r>
    <w:r>
      <w:rPr>
        <w:rFonts w:ascii="Arial" w:eastAsia="Arial" w:hAnsi="Arial" w:cs="Arial"/>
        <w:b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2014.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№ 1(45).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Ч</w:t>
    </w:r>
    <w:r>
      <w:rPr>
        <w:rFonts w:ascii="Arial" w:eastAsia="Arial" w:hAnsi="Arial" w:cs="Arial"/>
        <w:i/>
        <w:sz w:val="11"/>
      </w:rPr>
      <w:t xml:space="preserve">АСТИНА </w:t>
    </w:r>
    <w:r>
      <w:rPr>
        <w:rFonts w:ascii="Arial" w:eastAsia="Arial" w:hAnsi="Arial" w:cs="Arial"/>
        <w:i/>
        <w:sz w:val="14"/>
      </w:rPr>
      <w:t>ІІ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spacing w:after="0" w:line="259" w:lineRule="auto"/>
      <w:ind w:left="12" w:right="0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8DD" w:rsidRDefault="00B63DB4">
    <w:pPr>
      <w:spacing w:after="8" w:line="259" w:lineRule="auto"/>
      <w:ind w:left="578" w:right="-547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tabs>
        <w:tab w:val="center" w:pos="3627"/>
        <w:tab w:val="right" w:pos="6688"/>
      </w:tabs>
      <w:spacing w:after="0" w:line="259" w:lineRule="auto"/>
      <w:ind w:right="-559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Arial" w:eastAsia="Arial" w:hAnsi="Arial" w:cs="Arial"/>
        <w:i/>
        <w:sz w:val="14"/>
      </w:rPr>
      <w:t>Т</w:t>
    </w:r>
    <w:r>
      <w:rPr>
        <w:rFonts w:ascii="Arial" w:eastAsia="Arial" w:hAnsi="Arial" w:cs="Arial"/>
        <w:i/>
        <w:sz w:val="11"/>
      </w:rPr>
      <w:t>АВРІЙСЬКИЙ ВІСНИК ОСВІТИ</w:t>
    </w:r>
    <w:r>
      <w:rPr>
        <w:rFonts w:ascii="Arial" w:eastAsia="Arial" w:hAnsi="Arial" w:cs="Arial"/>
        <w:b/>
        <w:i/>
        <w:sz w:val="14"/>
      </w:rPr>
      <w:t>.</w:t>
    </w:r>
    <w:r>
      <w:rPr>
        <w:rFonts w:ascii="Arial" w:eastAsia="Arial" w:hAnsi="Arial" w:cs="Arial"/>
        <w:b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2014.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№ 1(45).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Ч</w:t>
    </w:r>
    <w:r>
      <w:rPr>
        <w:rFonts w:ascii="Arial" w:eastAsia="Arial" w:hAnsi="Arial" w:cs="Arial"/>
        <w:i/>
        <w:sz w:val="11"/>
      </w:rPr>
      <w:t xml:space="preserve">АСТИНА </w:t>
    </w:r>
    <w:r>
      <w:rPr>
        <w:rFonts w:ascii="Arial" w:eastAsia="Arial" w:hAnsi="Arial" w:cs="Arial"/>
        <w:i/>
        <w:sz w:val="14"/>
      </w:rPr>
      <w:t>ІІ</w:t>
    </w:r>
    <w:r>
      <w:rPr>
        <w:rFonts w:ascii="Arial" w:eastAsia="Arial" w:hAnsi="Arial" w:cs="Arial"/>
        <w:sz w:val="31"/>
        <w:vertAlign w:val="superscript"/>
      </w:rPr>
      <w:t xml:space="preserve"> </w:t>
    </w:r>
    <w:r>
      <w:rPr>
        <w:rFonts w:ascii="Arial" w:eastAsia="Arial" w:hAnsi="Arial" w:cs="Arial"/>
        <w:sz w:val="31"/>
        <w:vertAlign w:val="superscript"/>
      </w:rPr>
      <w:tab/>
    </w:r>
    <w:r>
      <w:rPr>
        <w:rFonts w:ascii="Arial" w:eastAsia="Arial" w:hAnsi="Arial" w:cs="Arial"/>
        <w:sz w:val="20"/>
      </w:rPr>
      <w:fldChar w:fldCharType="begin"/>
    </w:r>
    <w:r>
      <w:rPr>
        <w:rFonts w:ascii="Arial" w:eastAsia="Arial" w:hAnsi="Arial" w:cs="Arial"/>
        <w:sz w:val="20"/>
      </w:rPr>
      <w:instrText xml:space="preserve"> PAGE   \* MERGEFORMAT </w:instrText>
    </w:r>
    <w:r>
      <w:rPr>
        <w:rFonts w:ascii="Arial" w:eastAsia="Arial" w:hAnsi="Arial" w:cs="Arial"/>
        <w:sz w:val="20"/>
      </w:rPr>
      <w:fldChar w:fldCharType="separate"/>
    </w:r>
    <w:r>
      <w:rPr>
        <w:rFonts w:ascii="Arial" w:eastAsia="Arial" w:hAnsi="Arial" w:cs="Arial"/>
        <w:sz w:val="20"/>
      </w:rPr>
      <w:t>43</w:t>
    </w:r>
    <w:r>
      <w:rPr>
        <w:rFonts w:ascii="Arial" w:eastAsia="Arial" w:hAnsi="Arial" w:cs="Arial"/>
        <w:sz w:val="20"/>
      </w:rPr>
      <w:fldChar w:fldCharType="end"/>
    </w:r>
  </w:p>
  <w:p w:rsidR="003A48DD" w:rsidRDefault="00B63DB4">
    <w:pPr>
      <w:spacing w:after="0" w:line="259" w:lineRule="auto"/>
      <w:ind w:left="578" w:right="-547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8DD" w:rsidRDefault="00B63DB4">
    <w:pPr>
      <w:spacing w:after="9" w:line="259" w:lineRule="auto"/>
      <w:ind w:left="12" w:right="0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tabs>
        <w:tab w:val="center" w:pos="3061"/>
      </w:tabs>
      <w:spacing w:after="22" w:line="259" w:lineRule="auto"/>
      <w:ind w:right="0" w:firstLine="0"/>
      <w:jc w:val="left"/>
    </w:pPr>
    <w:r>
      <w:rPr>
        <w:rFonts w:ascii="Arial" w:eastAsia="Arial" w:hAnsi="Arial" w:cs="Arial"/>
        <w:sz w:val="20"/>
      </w:rPr>
      <w:fldChar w:fldCharType="begin"/>
    </w:r>
    <w:r>
      <w:rPr>
        <w:rFonts w:ascii="Arial" w:eastAsia="Arial" w:hAnsi="Arial" w:cs="Arial"/>
        <w:sz w:val="20"/>
      </w:rPr>
      <w:instrText xml:space="preserve"> PAGE   \* MERGEFORMAT </w:instrText>
    </w:r>
    <w:r>
      <w:rPr>
        <w:rFonts w:ascii="Arial" w:eastAsia="Arial" w:hAnsi="Arial" w:cs="Arial"/>
        <w:sz w:val="20"/>
      </w:rPr>
      <w:fldChar w:fldCharType="separate"/>
    </w:r>
    <w:r>
      <w:rPr>
        <w:rFonts w:ascii="Arial" w:eastAsia="Arial" w:hAnsi="Arial" w:cs="Arial"/>
        <w:sz w:val="20"/>
      </w:rPr>
      <w:t>42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ab/>
    </w:r>
    <w:r>
      <w:rPr>
        <w:rFonts w:ascii="Arial" w:eastAsia="Arial" w:hAnsi="Arial" w:cs="Arial"/>
        <w:i/>
        <w:sz w:val="14"/>
      </w:rPr>
      <w:t>Т</w:t>
    </w:r>
    <w:r>
      <w:rPr>
        <w:rFonts w:ascii="Arial" w:eastAsia="Arial" w:hAnsi="Arial" w:cs="Arial"/>
        <w:i/>
        <w:sz w:val="11"/>
      </w:rPr>
      <w:t>АВРІЙСЬКИЙ ВІСНИК ОСВІТИ</w:t>
    </w:r>
    <w:r>
      <w:rPr>
        <w:rFonts w:ascii="Arial" w:eastAsia="Arial" w:hAnsi="Arial" w:cs="Arial"/>
        <w:b/>
        <w:i/>
        <w:sz w:val="14"/>
      </w:rPr>
      <w:t>.</w:t>
    </w:r>
    <w:r>
      <w:rPr>
        <w:rFonts w:ascii="Arial" w:eastAsia="Arial" w:hAnsi="Arial" w:cs="Arial"/>
        <w:b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2014.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№ 1(45).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–</w:t>
    </w:r>
    <w:r>
      <w:rPr>
        <w:rFonts w:ascii="Arial" w:eastAsia="Arial" w:hAnsi="Arial" w:cs="Arial"/>
        <w:i/>
        <w:sz w:val="11"/>
      </w:rPr>
      <w:t xml:space="preserve"> </w:t>
    </w:r>
    <w:r>
      <w:rPr>
        <w:rFonts w:ascii="Arial" w:eastAsia="Arial" w:hAnsi="Arial" w:cs="Arial"/>
        <w:i/>
        <w:sz w:val="14"/>
      </w:rPr>
      <w:t>Ч</w:t>
    </w:r>
    <w:r>
      <w:rPr>
        <w:rFonts w:ascii="Arial" w:eastAsia="Arial" w:hAnsi="Arial" w:cs="Arial"/>
        <w:i/>
        <w:sz w:val="11"/>
      </w:rPr>
      <w:t xml:space="preserve">АСТИНА </w:t>
    </w:r>
    <w:r>
      <w:rPr>
        <w:rFonts w:ascii="Arial" w:eastAsia="Arial" w:hAnsi="Arial" w:cs="Arial"/>
        <w:i/>
        <w:sz w:val="14"/>
      </w:rPr>
      <w:t>ІІ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spacing w:after="0" w:line="259" w:lineRule="auto"/>
      <w:ind w:left="12" w:right="0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DB4" w:rsidRDefault="00B63DB4">
      <w:pPr>
        <w:spacing w:after="0" w:line="240" w:lineRule="auto"/>
      </w:pPr>
      <w:r>
        <w:separator/>
      </w:r>
    </w:p>
  </w:footnote>
  <w:footnote w:type="continuationSeparator" w:id="0">
    <w:p w:rsidR="00B63DB4" w:rsidRDefault="00B63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8DD" w:rsidRDefault="00B63DB4">
    <w:pPr>
      <w:spacing w:after="0" w:line="262" w:lineRule="auto"/>
      <w:ind w:left="516" w:right="0" w:hanging="504"/>
      <w:jc w:val="left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16"/>
      </w:rPr>
      <w:t>ІННОВАЦІЯ: ТЕОРІЯ І ПРАКТИКА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spacing w:after="0" w:line="259" w:lineRule="auto"/>
      <w:ind w:left="12" w:right="0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8DD" w:rsidRDefault="00B63DB4">
    <w:pPr>
      <w:spacing w:after="0" w:line="262" w:lineRule="auto"/>
      <w:ind w:left="1082" w:right="-547" w:hanging="504"/>
      <w:jc w:val="left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16"/>
      </w:rPr>
      <w:t>ІННОВАЦІЯ: ТЕОРІЯ І ПРАКТИКА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spacing w:after="0" w:line="259" w:lineRule="auto"/>
      <w:ind w:left="578" w:right="-547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8DD" w:rsidRDefault="00B63DB4">
    <w:pPr>
      <w:spacing w:after="0" w:line="262" w:lineRule="auto"/>
      <w:ind w:left="516" w:right="0" w:hanging="504"/>
      <w:jc w:val="left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16"/>
      </w:rPr>
      <w:t>ІННОВАЦІЯ: ТЕОРІЯ І ПРАКТИКА</w:t>
    </w:r>
    <w:r>
      <w:rPr>
        <w:rFonts w:ascii="Arial" w:eastAsia="Arial" w:hAnsi="Arial" w:cs="Arial"/>
        <w:sz w:val="20"/>
      </w:rPr>
      <w:t xml:space="preserve"> </w:t>
    </w:r>
  </w:p>
  <w:p w:rsidR="003A48DD" w:rsidRDefault="00B63DB4">
    <w:pPr>
      <w:spacing w:after="0" w:line="259" w:lineRule="auto"/>
      <w:ind w:left="12" w:right="0" w:firstLine="0"/>
    </w:pP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Wingdings 2" w:eastAsia="Wingdings 2" w:hAnsi="Wingdings 2" w:cs="Wingdings 2"/>
        <w:color w:val="808080"/>
        <w:sz w:val="14"/>
      </w:rPr>
      <w:t></w:t>
    </w:r>
    <w:r>
      <w:rPr>
        <w:rFonts w:ascii="Wingdings 2" w:eastAsia="Wingdings 2" w:hAnsi="Wingdings 2" w:cs="Wingdings 2"/>
        <w:color w:val="808080"/>
        <w:sz w:val="14"/>
      </w:rPr>
      <w:t></w:t>
    </w:r>
    <w:r>
      <w:rPr>
        <w:rFonts w:ascii="Wingdings 2" w:eastAsia="Wingdings 2" w:hAnsi="Wingdings 2" w:cs="Wingdings 2"/>
        <w:color w:val="808080"/>
        <w:sz w:val="14"/>
      </w:rPr>
      <w:t></w:t>
    </w:r>
    <w:r>
      <w:rPr>
        <w:rFonts w:ascii="Wingdings 2" w:eastAsia="Wingdings 2" w:hAnsi="Wingdings 2" w:cs="Wingdings 2"/>
        <w:color w:val="808080"/>
        <w:sz w:val="14"/>
      </w:rPr>
      <w:t></w:t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7207"/>
    <w:multiLevelType w:val="hybridMultilevel"/>
    <w:tmpl w:val="88DAA6A6"/>
    <w:lvl w:ilvl="0" w:tplc="C8947A70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0742FD8">
      <w:start w:val="1"/>
      <w:numFmt w:val="bullet"/>
      <w:lvlText w:val="o"/>
      <w:lvlJc w:val="left"/>
      <w:pPr>
        <w:ind w:left="1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05AD5FC">
      <w:start w:val="1"/>
      <w:numFmt w:val="bullet"/>
      <w:lvlText w:val="▪"/>
      <w:lvlJc w:val="left"/>
      <w:pPr>
        <w:ind w:left="22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92C2BA4">
      <w:start w:val="1"/>
      <w:numFmt w:val="bullet"/>
      <w:lvlText w:val="•"/>
      <w:lvlJc w:val="left"/>
      <w:pPr>
        <w:ind w:left="2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F642D04">
      <w:start w:val="1"/>
      <w:numFmt w:val="bullet"/>
      <w:lvlText w:val="o"/>
      <w:lvlJc w:val="left"/>
      <w:pPr>
        <w:ind w:left="3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5D8AFFC">
      <w:start w:val="1"/>
      <w:numFmt w:val="bullet"/>
      <w:lvlText w:val="▪"/>
      <w:lvlJc w:val="left"/>
      <w:pPr>
        <w:ind w:left="4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C1A4DFE">
      <w:start w:val="1"/>
      <w:numFmt w:val="bullet"/>
      <w:lvlText w:val="•"/>
      <w:lvlJc w:val="left"/>
      <w:pPr>
        <w:ind w:left="5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1AE9438">
      <w:start w:val="1"/>
      <w:numFmt w:val="bullet"/>
      <w:lvlText w:val="o"/>
      <w:lvlJc w:val="left"/>
      <w:pPr>
        <w:ind w:left="5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DF2AC32">
      <w:start w:val="1"/>
      <w:numFmt w:val="bullet"/>
      <w:lvlText w:val="▪"/>
      <w:lvlJc w:val="left"/>
      <w:pPr>
        <w:ind w:left="6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597AE9"/>
    <w:multiLevelType w:val="hybridMultilevel"/>
    <w:tmpl w:val="06BCA05A"/>
    <w:lvl w:ilvl="0" w:tplc="293ADA72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E817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A28648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51A6AF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7C2FB7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4841E4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50C656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236264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9CAEE7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696038"/>
    <w:multiLevelType w:val="hybridMultilevel"/>
    <w:tmpl w:val="101E9CF4"/>
    <w:lvl w:ilvl="0" w:tplc="CFC6613C">
      <w:start w:val="1"/>
      <w:numFmt w:val="decimal"/>
      <w:lvlText w:val="%1.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0829F96">
      <w:start w:val="1"/>
      <w:numFmt w:val="lowerLetter"/>
      <w:lvlText w:val="%2"/>
      <w:lvlJc w:val="left"/>
      <w:pPr>
        <w:ind w:left="15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349962">
      <w:start w:val="1"/>
      <w:numFmt w:val="lowerRoman"/>
      <w:lvlText w:val="%3"/>
      <w:lvlJc w:val="left"/>
      <w:pPr>
        <w:ind w:left="22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0AFFE2">
      <w:start w:val="1"/>
      <w:numFmt w:val="decimal"/>
      <w:lvlText w:val="%4"/>
      <w:lvlJc w:val="left"/>
      <w:pPr>
        <w:ind w:left="29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5CABE0">
      <w:start w:val="1"/>
      <w:numFmt w:val="lowerLetter"/>
      <w:lvlText w:val="%5"/>
      <w:lvlJc w:val="left"/>
      <w:pPr>
        <w:ind w:left="36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CBA3288">
      <w:start w:val="1"/>
      <w:numFmt w:val="lowerRoman"/>
      <w:lvlText w:val="%6"/>
      <w:lvlJc w:val="left"/>
      <w:pPr>
        <w:ind w:left="43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26E0EA">
      <w:start w:val="1"/>
      <w:numFmt w:val="decimal"/>
      <w:lvlText w:val="%7"/>
      <w:lvlJc w:val="left"/>
      <w:pPr>
        <w:ind w:left="51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7D68038">
      <w:start w:val="1"/>
      <w:numFmt w:val="lowerLetter"/>
      <w:lvlText w:val="%8"/>
      <w:lvlJc w:val="left"/>
      <w:pPr>
        <w:ind w:left="58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8AA15E">
      <w:start w:val="1"/>
      <w:numFmt w:val="lowerRoman"/>
      <w:lvlText w:val="%9"/>
      <w:lvlJc w:val="left"/>
      <w:pPr>
        <w:ind w:left="65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DD"/>
    <w:rsid w:val="003A48DD"/>
    <w:rsid w:val="006D29C3"/>
    <w:rsid w:val="00B6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5118"/>
  <w15:docId w15:val="{5AB4A44E-F750-48D4-B73B-25817B94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" w:line="236" w:lineRule="auto"/>
      <w:ind w:right="60" w:firstLine="415"/>
      <w:jc w:val="both"/>
    </w:pPr>
    <w:rPr>
      <w:rFonts w:ascii="Verdana" w:eastAsia="Verdana" w:hAnsi="Verdana" w:cs="Verdan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ТАВРІЙСЬКИЙ</vt:lpstr>
    </vt:vector>
  </TitlesOfParts>
  <Company/>
  <LinksUpToDate>false</LinksUpToDate>
  <CharactersWithSpaces>14703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ТАВРІЙСЬКИЙ</dc:title>
  <dc:subject/>
  <dc:creator>SPA</dc:creator>
  <cp:keywords/>
  <cp:lastModifiedBy>кукуся</cp:lastModifiedBy>
  <cp:revision>2</cp:revision>
  <dcterms:created xsi:type="dcterms:W3CDTF">2019-01-10T17:12:00Z</dcterms:created>
  <dcterms:modified xsi:type="dcterms:W3CDTF">2019-01-10T17:12:00Z</dcterms:modified>
</cp:coreProperties>
</file>