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307" w:right="74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УДК 37.015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78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91"/>
        <w:ind w:left="-307" w:right="-30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Т. В. Філатьєва, ДЗ «Луганський національний університет імені Тараса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01"/>
        <w:ind w:left="-307" w:right="792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Шевченка»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86"/>
        <w:ind w:left="2817" w:right="281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ПОЗАШКІЛЬНА ОСВІТА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06"/>
        <w:ind w:left="1550" w:right="155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ЯК ІСТОРИКО-ПЕДАГОГІЧНА ПРОБЛЕМА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686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Філатьєва Т. В. Позашкільна освіта як історико-педагогічна проблема. У статті автор звертається до історико-педагогічного аспекту розвитку позашкільної освіти, розглядаючи історичні особливості становлення системи позашкілля, визначено програмно-методичне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позашкільної освіти. Визначено, що однією з основних форм організації навчально-виховної діяльності в позашкільних закладах є гурток. Історично кожен з періодів розвитку позашкільної освіти визначав свої напрямки роботи гуртків. У статті зазна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чається, що сучасна позашкільна освіта в ході свого історичного розвитку набула нових якостей і представлена такими напрямами, як художнь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естетичний, еколого-натуралістичний, туристсько-краєзнавчий, науков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технічний, дослідно-експериментальний, оздоров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чий, соціально- реабілітаційний. Автор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іджує вимоги щодо вихователя позашкільного закладу протягом формування системи позашкільної освіти, серед яких наголошує на наступних: необхідність ґрунтовного знайомства із загальною теорією позашкільної освіти,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знання методів позашкільної роботи, психології дітей, володіння технікою та методикою проведення заходів тощо.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left="403" w:right="97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Ключові слова: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освіта, позашкільна освіта, школа, якість освіти.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364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Филатьева Т. В. Внешкольное образование как историко-педагогическая проблема. В статье автор обращается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историко-педагогического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аспекта развития внешкольного образования, рассматривая исторические особенности становления системы внешкольного образования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раскрыто программно- методическое обеспечение дополнительного образования. Определено, что одной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из основных форм организации учебно-воспитательной деятельности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внешкольных заведениях есть кружок. Исторически каждый из периодов развития внешкольного об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разования определял свои направления работы кружков. В статье отмечается, что современное внешкольное образование в ходе своего исторического развития приобрело новые качества и представлено такими направлениями, как художественно-эстетическое,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эколого- на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туралистическое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туристско-краеведческое, научно-техническое, опытно- экспериментальное, оздоровительное, социально-реабилитационное. Автор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исследует требования к воспитателю внешкольного учреждения в течение формирования системы внешкольного образования,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среди которых отмечает следующие: необходимость основательного знакомства с общей теорией внешкольного образования, знание методов внешкольной работы, психологии детей, владения техникой и методикой проведения мероприятий и т. п.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left="-307" w:right="-307" w:firstLine="101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Ключевые слова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образование, внешкольное образование, школа, качество образования.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Сьогодні позашкільна освіта становить невід’ємну частину системи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неперервної освіти, оскільки дає дитині додаткові можливості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інтелектуального, духовного й фізичного розвитку, сприяє актуалізації творчих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освітніх потреб. Саме тому позашкільні заклади мають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попит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сучасному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суспільстві. Їхня робота помітно ві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ізняється від організації інших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іокультурних і виховних центр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ів. Актуальність позашкільної освіти полягає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розвитку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іально-комунікативної компетентності в дітей, у становленні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3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їхньої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іальної зрілості та відповідальності.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Провідним методологічним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ідходом дослідження суспільних явищ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виступає системний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ідхід. Згідно з концептуальними позиціями системного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ідходу (М. Каган та ін.) необхідними й достатніми є сполучення трьох площин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ідження: предметної, функціональної та історичної [102, с. 22 – 23].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Історична площина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ідження понять „позашкільна освіта”, „педагог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позашкільного закладу” створює передумови для з’ясування особливостей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56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походження такого феномену.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Історико-педагогічний контекст проблеми становлення та розвитку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позашкільних закладів представлено у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ідженнях В.Береки, О. Биковської,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Вербицького, О. Євладової, Г. Пустовіта, Є. Смольникова, Т. Сущенко,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Т. Цвірової та ін. Оскільки детальний ретроспективний аналіз зазначеної проблеми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є предметом нашого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ідження, то на підставі узагальнення результатів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наукових розвідок щодо історико-педагогічного аспекту розвитку та становлення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позашкільної освіти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вітчизняному освітньому просторі та за аналізом наукового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доробку видатних пед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агогів минулого (П. Вахтеров, К. Вентцель, О. Зеленко,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Крупська, А. Луначарський, А. Макаренко, Є. Мединський, С. Русова,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Сорока-Росинський, В. Сухомлинський, С. Шацький та ін.) можна зробити певні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узагальнюючі висновки щодо особливостей розвитку системи позашкільної освіти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вітчизняному освітньому просторі та специфіки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ідготовки кадрів для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позашкілля, зокрема педагогічних кадрів для позашкільних закладів освіти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51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художньо-естетичного спрямування.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Мета статті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розкрити історико-педагогічні особливості розвитку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68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позашкільної освіти.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Виникнення перших форм позашкільної роботи пов’язують з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педагогічною діяльністю Шляхетського кадетського корпусу в Петербурзі,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організацією у 30-х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роках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ХVІІІ ст. літературного гуртка [244, с. 6]. Активізація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різних форм організації позашкільної діяльності припадає на кінець ХІ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Так, у Харкові в 1895 році відкрили дитячий парк для ігор, у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Москві у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1904 р.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відкрито перший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іський народний будинок, при якому було організовано клуб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дітей, який за напрямком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своєї д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іяльності нагадував дитячу технічну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станцію (у роботі цієї організації активну участь брав видатний педагог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С. Шацький).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ідники відзначают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ь, що незважаючи на жорстокі заборони з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боку царської влади, прогресивні педагогічні організації на власні кошти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169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створювали в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ізних містах клуби для дітей, літні колонії тощо.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Варто відзначити, що суттєві зміни в організації позашкільного життя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дітей та учнівської молоді відбулися в Україні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ісля революційних подій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1917 р.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реалізації завдань навчання та виховання дітей створювалися перші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центри позашкільної освіти. Особливим попитом в Україні в 1918 – 1919 рр.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користувалися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невелик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і дитячі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клуби, комуни, секції, у яких навчально-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виховним процесом керували комсомольці.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Вони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працювали в гуртках,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створювали бібліотеки, майстерні. Дитячі об’єднання й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клуби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ставили собі за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мету залучення дітей до активної участі в будівництві нового життя. Т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організації були праобразом сучасних позашкільних закладів освіти, першою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базою дитячих політичних організацій.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1917 по 1920 роки в Україні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було створено Департамент позашкільної освіти, який сприяв створенню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67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нового типу.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ідження проблеми підготовки майбутніх фахівців у галузі мистецтва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художньо-педагогічної діяльності у позашкільних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закладах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освіти має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враховувати теоретичні позиції та практичний досвід видатних педагогі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минулого, які опікувалися проблемами поза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шкілля. Для розуміння сутності 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спрямованості позашкільної освіти важливими є ідеї К. Вентцеля про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вивільнення в дитині творчих сил, творчої волі дитини,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ідомої творчої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активності, В. Сороки-Росинського – про принцип „емоційної насиченості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організов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аного виховного процесу”, обов’язкового включення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роботу з дітьми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подіє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вост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і, художньої виразності усіх педагогічних засобів з метою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безпосереднього впливу на розвиток почуттів дітей, принцип свободи дітей, що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стимулює розвиток їхньої ініціативи та самостійності. Є. Мединський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формулює вимоги до позашкільного працівника: необхідність ґрунтовного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знайомства із загальною теорією позашкільної освіти, знання методі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позашкільної роботи, психології дітей, володінн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технікою та методикою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625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проведення заходів тощо.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Крупська розглядала заклади позашкільного типу як виховні,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приділяла постійну увагу проблемам змісту та методів їх діяльності,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систематично брала участь у з’їздах і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ізного роду конференціях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позашкільників. За її ініціативою перші позашкільні заклади в роки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громадянської війни намагалися допомагати фронту й сі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м’ям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червоноармійців,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очолювали пункти лікнепу, збирали провіант і кошти для дитячих будинкі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проводили рейди боротьби з дитячою без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доглядністю [127, с. 398]. Н. Крупська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наголошувала на тісному зв’язку позашкільних закладів зі школою. Провідним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принципом і шкільного, і позашкільного виховання вважала принцип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колективізму. Цьому принципу, за її словами, повинні відповідати й колекти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53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 роботи [Там само, с. 399].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Аналіз історико-педагогічного аспекту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іджуваної проблеми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засвідчив, що однією з основних форм організації навчально-виховної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діяльності в позашкільних закладах слід визначити гурток. Історично кожен з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періодів розвитку позашкільної освіти визначав свої напрямки роботи гурткі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Спочатку їхню діяльність було спрямовано на оволодіння основними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трудовими вміннями й навичками, освоєння робочих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спец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іальностей, а з часом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професійний характер гуртків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поступа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ється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місцем нескладній творчій праці.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Так, у середині 20-х років ХХ століття в перших позашкільних закладах, що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організовували дитячу творчість у галузі техніки, сільського господарства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тощо, гурткова робота набула офіційного статусу, мала певне органі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заційне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оформлення. У гуртках створюються творчі об’єднання як продукти творчої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діяльності з’являються дитячі роботи, сповнені новизни, ідейності, вимислу. 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ідженні М. Рибникової „Гуртки учнів” (1919 р.) знаходимо цікаву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інформацію про гуртки та особливості організації занять у них.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[Там само,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с. 18].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Осмислення історико-педагогічного досвіду організації </w:t>
      </w:r>
      <w:r w:rsidRPr="00DB7A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саме гурткової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роботи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є актуальним у наш час у зв’язку з розширенням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ізних форм гурткової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роботи у закладах позашкіл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ьної освіти, значним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попитом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гуртки художньо-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619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естетичного спрямування.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У період з 1920 по 1936 роки створюється низка позашкільних закладі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Харкові в 1920 році було відкрито перший дитячий театр; у 1925 – перша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дитяча біологічна станція (потім стала Республіканською станцією юних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натуралі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ів); з 1927 року почала діяти перша дитяча технічна станція; у 1931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розпочала свою діяльність Республіканська дитяча екскурсійно-туристична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станція й були організовані облас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ні станції. У 1936 р. у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Дніпропетровськ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191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побудували першу в Україні дитячу залізну дорогу [244, с. 8].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історії розвитку позакласної та позашкільної роботи в Україні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ідним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був 1934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ік. У будинку ВУЦВКу було створено Палац піонерів і жовтенят. 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палаці було створено лабораторії, фізкультурний зал,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студ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ії, музичні класи,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зимовий сад, тринадцять кімнат для ігор,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ібліотека з книжковим фондом у 100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тисяч томів. Більше чотирьохсот педагогів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ізних профілів брали активну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участь в організації роботи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палацу.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ісля 1935 року палаци піонерів було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відкрито в Донецьку, Полтаві, Вінниці та інших містах. Саме з цього часу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палаци стали великими позашкільними закладами, що проводили широку й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багатогранну виховну роботу серед дітей.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Вони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стали методичними це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нтрами,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 здійснювали вплив на розвиток форм позакласної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іонерської й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5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комсомольської роботи [199, с. 6].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Подальша історія системи позашкільної освіти в Україні була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пов’язана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із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ствердженням ідеї, що позакласна й позашкільна робота є однією з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найважливіших ланок виховання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молодого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покоління, юридичним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оформленням, визначенням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ілів діяльності позашкільних закладів різних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74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типів [21, с. 12].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роки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незалежності позашкільна освіта здобула особливої популярності.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Додаткові освітні послуги з 1991 р. користувалися досить високим попитом.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Весь освітній процес спрямовувався на розвиток творчої особистості, тому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позашкільні заклади стають „осередками мотиваційного розвитку особистості,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19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її самореалізації та професійного самовизначення” [21, с. 13].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середині 90-х рр. ХХ ст. прийнято низку важливих постанов, які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обґрунтовували стратегію розвитку позашкільних закладів освіти, окреслили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нов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і напрямки позашкільної освіти, розв’язували пит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ання управлінсько-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організаційного характеру. З’явилися нові типи закладі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галузі позашкілля,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наприклад, культурно-освітні центри, що об’єднували принципи діяльності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загальноосвітньої школи та закладів культури – дитячі музичні школи, дитячі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художні школи, музеї,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ібліотеки; центри християнської культури; комп’ютерні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клуби, тел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відео- і фотостудії та ін. Відроджується інтерес до військово-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3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спортивних і спортивно-технічних видів діяльності.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Значну увагу приділено програмно-методичному забезпеченню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позашкільної освіти. У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ізних типах закладів позашкільної освіти створено свої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програми, які ві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ізняються оригінальністю підходу педагога. Методичні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напрацювання педагогів-позашкільників друкуються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періодичних виданнях,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 сприяє обміну досвідом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іж працівниками позашкільних установ.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Нормативне закріплення статусу позашкільної освіти як складника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неперервної освіти в 1996 р. у Конституції України й прийняття у 2000 р.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Закону України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„П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 позашкільну освіту” суттєво вплинуло й на позашкільну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освіту, результатами трансформації якої протягом 1990-х рр. стали: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формування багаторівневої системи позашкільної освіти, класифікація гурткі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груп та інших творчих об’єднань позашкільного навчального закладу за трьома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івнями (початковий, основний, вищий); розширення мережі позашкільних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навчальних закладів, створення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закладів нового типу, їхня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ілізація;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розгортання нових напрямів позашкільної освіти; модернізація навчально-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виховного процесу в позашкільних навчальних закладах; деідеологізація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позашкільної освіти; диверсифікація джерел фінансування позашкільної освіти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рахунок додаткових джерел фінансування, не заборонених законодавством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75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[29, с. 15 – 16].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Отже, позашкільна освіта в незалежній Україні поступово набувала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обертів, розширювалася мережа позашкільних установ, збільшувалася кількість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їхні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відвідувачів, приділялася увага навчально-методичному забезпеченню та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педагогам системи позашкілля, навчально-виховний процес будувався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22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національних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засадах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культуротворчості, самоосвіті тощо.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Починаючи з 2000 р., в Україні формується нова правова основа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діяльності позашкільних закладів освіти. 22 червня 2000 р. було прийнято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 України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„П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ро позашкільну освіту”, який і визначив, і з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аконодавчо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закріпив державну політику в галузі позашкільної освіти, її правові,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іально-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економічні, а також організаційні, освітні та виховні засади. Протягом 2000 –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2005 рр. Міністерство освіти і науки України затвердило низку документів, що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регулюють діяльність позашкільних закладів осві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ти. Їх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умовно можна поділити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чотири групи: законодавчі акти та державні документи (наприклад, Закон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„П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 позашкільну освіту”, Постанова КМ України „Про затвердження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переліку типів позашкільних на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вчальних закладів і Положення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позашкільний навчальний заклад” тощо); нормативно-правові документи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освітньої галузі щодо позашкільної освіти (наприклад, Концепція позашкільної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 та виховання, Наказ МОН України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„П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 затвердження Порядку видачі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випускникам позашкільних навчальних закладів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св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ідоцтв про позашкільну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освіту” та ін.); документи щодо організації навчально-виховного процесу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(наприклад, Наказ МОН України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„П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 затвердження Типових переліків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навчально-наочних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ібників і технічних засобів навчання для художньо-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естетичних, еколого-натуралістичних, туристсько-краєзнавчих і науково-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технічних позашкільних навчальних закладів...” та ін.); документи щодо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працівників галузі позашкільної освіти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(наприклад, Наказ МОН України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„П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затвердження Положення про Всеукраїнський конкурс майстерності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педагогічних працівників позашкільних навчальних закладів „Джерело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72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творчості” тощо).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Проаналізована документація дозволяє дійти висновку, що система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позашкільної освіти у 2000 – 2005 рр. активно розвивалася, затвердилися типи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позашкільних навчальних закладів (2001 р.): дитячо-юнацькі спортивні школи;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клуби; Мала академія мистецтв (народних ремесел); Мала академія наук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учнівської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і; оздоровчі заклади для дітей та молоді; початкові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спеціалізовані мистецькі навчальні заклади (школи естетичного виховання: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музичні, хореографічні, художні, театральні, хорові, мистецтв тощо); центр,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палац, будинок, клуб художньої творч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ості дітей, юнацтва та молоді,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естетичного виховання; станція юних натуралі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ів; клуб науково-технічної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творчості; станція юних туристів, бюро туризму; центри військово-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патріотичного та ін. напрямів позашкільної освіти; дитяча бібліотека,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дитячий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парк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дитячо-юнацька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студ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ія; кімната школяра, школи мистецтв тощо.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Тенденція до збільшення контингенту дітей (наприклад, у 2004 – 2006 роках у </w:t>
      </w:r>
      <w:proofErr w:type="gramEnd"/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художній школі набирали 6 – 8 перших класів по 10 – 13 осіб), які бажають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навчатися в позашкільних установах, призводить до розширення мережі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позашкільних закладів освіти, виникають аматорські секції, гуртки, приватні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667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індивідуальні заняття.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Отже, сучасна позашкільна освіта представлена такими напрямами, як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художньо-естетичний, еколого-натуралістичний, туристсько-краєзнавчий,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науково-технічний,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досл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ідно-експериментальний, оздоровчий, соціально-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735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реабілітаційний.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чином, розвиваючись разом із суспільством, позашкільні заклади,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 і школи та інші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іокультурні установи, нині перебувають у стані певної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дестабілізації й деформації, що пов’язано із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іально-економічними умовами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розвитку нашої держави. Хоча позашкільні заклади набули актуальності в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новому суспільстві, користуються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попитом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серед учнівської молоді, та досить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скрутним залишається матеріально-технічний стан цих установ. Фінансові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18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питання більшою мірою покладено на адміністрацію позашкільних установ.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Перспективними є питання розвитку сучасної позашкільної освіти,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12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методики організації занять з мистецтва в позашкільних установах.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Історичний аналіз становлення й розвитку позашкільної освіти в Україні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доводить, що попри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суспільно-політичні, історичні негаразди система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позашкілля мала позитивні тенденції й у становленні цього складника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неперервного освітнього процесу, і в безпосередньому впливові на особистість.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801" w:right="380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Література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Каган М. С. Человеческая деятельность (Опыт системного анализа) /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38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С. Каган. – М.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Политиздат, 1974. – 328 с.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2. Сущенко Т. И. Педагогический процесс во внешкольных учреждениях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2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учебно-методическое пособие / Т. И. Сущенко. – К. : Рад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к., 1986. – 118 с.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3. Концепція позашкільної освіти та виховання // Освіта. – 1997. – 5 берез.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816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С. 3 – 4.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4. Крупская Н. К. Педагогические сочинения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6-ти томах /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Н. К. Крупская; под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ед. А. М. Гончарова и др. – М. : Педагогика, 1980. – Т. 5.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1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495 с.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5. Рыбникова М. А. Кружки учащихся / М. А. Рыбникова – М.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 :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 Б.и., 1919.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124 с. </w:t>
      </w: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>6. Позашкільні заклади України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 :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</w:rPr>
        <w:t xml:space="preserve"> основні напрямки розвитку та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1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оновлення діяльності. Концепція / І. М. Мельникова. – К.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Освіта, 1993. – 48 с.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03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Берека В. Є.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Соц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іально-педагогічні основи розвитку позашкільної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освіти в Україні (1957 – 2000 рр.) : автореф. дис. на здобуття наук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тупеня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-3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>канд. пед. наук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спец. 13.00.01 „Загальна педагогіка та історія педагогіки” / </w:t>
      </w:r>
    </w:p>
    <w:p w:rsidR="00C8021B" w:rsidRPr="00DB7ADC" w:rsidRDefault="00182803" w:rsidP="00DB7ADC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307"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B7A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В. Є. Берека. – К., 2001. – 20 с. </w:t>
      </w:r>
    </w:p>
    <w:p w:rsidR="00C8021B" w:rsidRPr="00DB7ADC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53"/>
        <w:ind w:left="-307" w:right="-311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proofErr w:type="gramStart"/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Filatyeva T. V. School Education as a Historical and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</w:t>
      </w: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edagogical Problems.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In the article the author refers to the historical and pedagogical aspect of school education, considering the historical features of a system pozashkillya defined software support </w:t>
      </w: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of adult education.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Determined that one of the main forms of educational activities in preschool institutions is a circle.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Historically, one of the periods of school education defined their areas of work groups. The article states that the modern school ed</w:t>
      </w: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ucation during its historical development acquired new properties and includes such areas as art-aesthetic, ecological and naturalistic, tourism and local history, science and technology, Experimental, health, social and rehabilitation. The author examines</w:t>
      </w: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the requirements for out-of-school teacher for the formation of school education system, including the emphasis on the following: the need for a thorough acquaintance with the general theory of adult education, knowledge of methods of extracurricular acti</w:t>
      </w: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vities, psychology of children, the technique and the method of event. </w:t>
      </w:r>
    </w:p>
    <w:p w:rsidR="00C8021B" w:rsidRPr="00DB7ADC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left="-307" w:right="-307" w:firstLine="102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The author notes that in different types of adult education institutions set up their programs, which is original approach of the teacher. Methodological developments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teachers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pozashkilnykiv published in journals that facilitates the exchange of experience</w:t>
      </w: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between employees extracurricular institutions. </w:t>
      </w:r>
    </w:p>
    <w:p w:rsidR="00C8021B" w:rsidRPr="00DB7ADC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left="-307" w:right="-311" w:firstLine="102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Filatyeva T.V. indicates that during the historical development there are new types of extracurricular institutions. </w:t>
      </w:r>
      <w:proofErr w:type="gramStart"/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Concludes that understanding the historical and pedagogical experience of it is actual circle of nowadays due to the expansion of various f</w:t>
      </w: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>orms of circle work in adult education institutions, strong demand for groups of artistic and aesthetic direction.</w:t>
      </w:r>
      <w:proofErr w:type="gramEnd"/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 </w:t>
      </w:r>
    </w:p>
    <w:p w:rsidR="00C8021B" w:rsidRPr="00DB7ADC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43"/>
        <w:ind w:left="412" w:right="1204"/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</w:pPr>
      <w:r w:rsidRPr="00DB7ADC">
        <w:rPr>
          <w:rFonts w:ascii="Times New Roman" w:eastAsia="Times New Roman" w:hAnsi="Times New Roman" w:cs="Times New Roman"/>
          <w:i/>
          <w:color w:val="000000"/>
          <w:sz w:val="27"/>
          <w:szCs w:val="27"/>
          <w:lang w:val="en-US"/>
        </w:rPr>
        <w:t>Keywords</w:t>
      </w:r>
      <w:r w:rsidRPr="00DB7ADC">
        <w:rPr>
          <w:rFonts w:ascii="Times New Roman" w:eastAsia="Times New Roman" w:hAnsi="Times New Roman" w:cs="Times New Roman"/>
          <w:color w:val="000000"/>
          <w:sz w:val="27"/>
          <w:szCs w:val="27"/>
          <w:lang w:val="en-US"/>
        </w:rPr>
        <w:t xml:space="preserve">: education, school education, school, quality education. </w:t>
      </w:r>
    </w:p>
    <w:p w:rsidR="00C8021B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528"/>
        <w:ind w:left="403" w:right="6081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Відомості про автора </w:t>
      </w:r>
    </w:p>
    <w:p w:rsidR="00C8021B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06"/>
        <w:ind w:left="403" w:right="-30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i/>
          <w:color w:val="000000"/>
          <w:sz w:val="27"/>
          <w:szCs w:val="27"/>
        </w:rPr>
        <w:lastRenderedPageBreak/>
        <w:t xml:space="preserve">Філатьєва Тетяна Володимирівна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– кандидат педагогічних наук, доцент, </w:t>
      </w:r>
    </w:p>
    <w:p w:rsidR="00C8021B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01"/>
        <w:ind w:left="-307" w:right="-30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завідувач кафедри образотворчого мистецтва та професійної майстерності </w:t>
      </w:r>
    </w:p>
    <w:p w:rsidR="00C8021B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06"/>
        <w:ind w:left="-307" w:right="-302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Інституту культури і мистецтв ДЗ «Луганський національний університет імені </w:t>
      </w:r>
    </w:p>
    <w:p w:rsidR="00C8021B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206"/>
        <w:ind w:left="-307" w:right="7027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Тараса Шевченка». </w:t>
      </w:r>
    </w:p>
    <w:p w:rsidR="00C8021B" w:rsidRDefault="0018280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523"/>
        <w:ind w:left="4252" w:right="-311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Стаття надійшла до редакції 11.12.2014 р. Прийнято до друку 26.12.2014 р. Рецензент – д. п. н., проф. Сташевська І. О. </w:t>
      </w:r>
    </w:p>
    <w:sectPr w:rsidR="00C8021B" w:rsidSect="00C8021B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C8021B"/>
    <w:rsid w:val="00182803"/>
    <w:rsid w:val="00C8021B"/>
    <w:rsid w:val="00DB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normal"/>
    <w:next w:val="normal"/>
    <w:rsid w:val="00C8021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8021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8021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8021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8021B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802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8021B"/>
  </w:style>
  <w:style w:type="table" w:customStyle="1" w:styleId="TableNormal">
    <w:name w:val="Table Normal"/>
    <w:rsid w:val="00C802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8021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normal"/>
    <w:next w:val="normal"/>
    <w:rsid w:val="00C802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3118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2019-02-07T10:16:00Z</dcterms:created>
  <dcterms:modified xsi:type="dcterms:W3CDTF">2019-02-07T10:49:00Z</dcterms:modified>
</cp:coreProperties>
</file>