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1"/>
          <w:szCs w:val="21"/>
          <w:lang w:val="en-US" w:eastAsia="uk-UA"/>
        </w:rPr>
      </w:pPr>
    </w:p>
    <w:p w:rsidR="005A7877" w:rsidRPr="005A7877" w:rsidRDefault="005A7877" w:rsidP="005A7877">
      <w:pPr>
        <w:shd w:val="clear" w:color="auto" w:fill="FEF6F6"/>
        <w:spacing w:before="240" w:after="120" w:line="240" w:lineRule="auto"/>
        <w:ind w:firstLine="0"/>
        <w:jc w:val="left"/>
        <w:outlineLvl w:val="0"/>
        <w:rPr>
          <w:rFonts w:ascii="Georgia" w:eastAsia="Times New Roman" w:hAnsi="Georgia"/>
          <w:b/>
          <w:bCs/>
          <w:color w:val="000000"/>
          <w:kern w:val="36"/>
          <w:sz w:val="48"/>
          <w:szCs w:val="48"/>
          <w:lang w:eastAsia="uk-UA"/>
        </w:rPr>
      </w:pPr>
      <w:r w:rsidRPr="005A7877">
        <w:rPr>
          <w:rFonts w:ascii="Georgia" w:eastAsia="Times New Roman" w:hAnsi="Georgia"/>
          <w:b/>
          <w:bCs/>
          <w:color w:val="000000"/>
          <w:kern w:val="36"/>
          <w:sz w:val="48"/>
          <w:szCs w:val="48"/>
          <w:lang w:eastAsia="uk-UA"/>
        </w:rPr>
        <w:t xml:space="preserve">Н.М.Бугайова. Дослідження адиктивної поведінки в </w:t>
      </w:r>
      <w:proofErr w:type="spellStart"/>
      <w:r w:rsidRPr="005A7877">
        <w:rPr>
          <w:rFonts w:ascii="Georgia" w:eastAsia="Times New Roman" w:hAnsi="Georgia"/>
          <w:b/>
          <w:bCs/>
          <w:color w:val="000000"/>
          <w:kern w:val="36"/>
          <w:sz w:val="48"/>
          <w:szCs w:val="48"/>
          <w:lang w:eastAsia="uk-UA"/>
        </w:rPr>
        <w:t>синергетичному</w:t>
      </w:r>
      <w:proofErr w:type="spellEnd"/>
      <w:r w:rsidRPr="005A7877">
        <w:rPr>
          <w:rFonts w:ascii="Georgia" w:eastAsia="Times New Roman" w:hAnsi="Georgia"/>
          <w:b/>
          <w:bCs/>
          <w:color w:val="000000"/>
          <w:kern w:val="36"/>
          <w:sz w:val="48"/>
          <w:szCs w:val="48"/>
          <w:lang w:eastAsia="uk-UA"/>
        </w:rPr>
        <w:t xml:space="preserve"> контексті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1"/>
          <w:szCs w:val="21"/>
          <w:lang w:val="ru-RU" w:eastAsia="uk-UA"/>
        </w:rPr>
      </w:pP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Стрімкий розвиток цифрових технологій та процеси глобалізації, які охоплюють усі сфери життя сучасного суспільства, створили сприятливі умови для виникнення нових видів адикцій та способів адиктивної реалізації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Адикції</w:t>
      </w:r>
      <w:proofErr w:type="spellEnd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 впливають на особистість і викликають:</w:t>
      </w:r>
    </w:p>
    <w:p w:rsidR="005A7877" w:rsidRPr="005A7877" w:rsidRDefault="005A7877" w:rsidP="005A7877">
      <w:pPr>
        <w:numPr>
          <w:ilvl w:val="0"/>
          <w:numId w:val="1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емоційну й нервову перенапругу;</w:t>
      </w:r>
    </w:p>
    <w:p w:rsidR="005A7877" w:rsidRPr="005A7877" w:rsidRDefault="005A7877" w:rsidP="005A7877">
      <w:pPr>
        <w:numPr>
          <w:ilvl w:val="0"/>
          <w:numId w:val="1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астеноневротичні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й психоемоційні порушення;</w:t>
      </w:r>
    </w:p>
    <w:p w:rsidR="005A7877" w:rsidRPr="005A7877" w:rsidRDefault="005A7877" w:rsidP="005A7877">
      <w:pPr>
        <w:numPr>
          <w:ilvl w:val="0"/>
          <w:numId w:val="1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соматичні захворювання;</w:t>
      </w:r>
    </w:p>
    <w:p w:rsidR="005A7877" w:rsidRPr="005A7877" w:rsidRDefault="005A7877" w:rsidP="005A7877">
      <w:pPr>
        <w:numPr>
          <w:ilvl w:val="0"/>
          <w:numId w:val="1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сприяють виникненню комунікативних, інтимно-особистісних проблем і порушенню соціальної адаптації.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Уживання психоактивних речовин (далі ПАР) або зловживання ними з метою досягнення стану зміненої психічної діяльності є однією з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найпоши-реніших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форм адиктивної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поведінки.</w:t>
      </w: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Психоактивною</w:t>
      </w:r>
      <w:proofErr w:type="spellEnd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 речовиною вважається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будь-яка речовина, здатна під час одноразового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прийома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тимчасово змінювати психічну діяльність індивіда, а при систематичному — викликати психічну й фізичну залежність.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У класифікації хімічних залежностей прийнято виділяти наступні види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 які є найбільш поширеними:</w:t>
      </w:r>
    </w:p>
    <w:p w:rsidR="005A7877" w:rsidRPr="005A7877" w:rsidRDefault="005A7877" w:rsidP="005A7877">
      <w:pPr>
        <w:numPr>
          <w:ilvl w:val="0"/>
          <w:numId w:val="2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тютюнопаління;</w:t>
      </w:r>
    </w:p>
    <w:p w:rsidR="005A7877" w:rsidRPr="005A7877" w:rsidRDefault="005A7877" w:rsidP="005A7877">
      <w:pPr>
        <w:numPr>
          <w:ilvl w:val="0"/>
          <w:numId w:val="2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алкоголізм;</w:t>
      </w:r>
    </w:p>
    <w:p w:rsidR="005A7877" w:rsidRPr="005A7877" w:rsidRDefault="005A7877" w:rsidP="005A7877">
      <w:pPr>
        <w:numPr>
          <w:ilvl w:val="0"/>
          <w:numId w:val="2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наркоманію;</w:t>
      </w:r>
    </w:p>
    <w:p w:rsidR="005A7877" w:rsidRPr="005A7877" w:rsidRDefault="005A7877" w:rsidP="005A7877">
      <w:pPr>
        <w:numPr>
          <w:ilvl w:val="0"/>
          <w:numId w:val="2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токсикоманію;</w:t>
      </w:r>
    </w:p>
    <w:p w:rsidR="005A7877" w:rsidRPr="005A7877" w:rsidRDefault="005A7877" w:rsidP="005A7877">
      <w:pPr>
        <w:numPr>
          <w:ilvl w:val="0"/>
          <w:numId w:val="2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залежність від стимуляторів.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Відповідно до Міжнародної класифікації хвороб 10-го перегляду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МКХ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-10) психічні та поведінкові розлади внаслідок вживання психоактивних речовин кодуються у модулі F10-F19 і містять розлади психіки та поведінки внаслідок вживання алкоголю,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опіоїдів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канабіоїдів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 седативних, снодійних засобів, кокаїну, стимуляторів (включаючи кофеїн), галюциногенів, тютюну, летючих розчинників (летучі вуглеводні й нафтопродукти: ацетон, клей, бензол, газолін, розчинники лаку, рідини для заправлення запальничок, аерозолі), а також складних лікарських засобів та інших психоактивних речовин.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До психоактивних речовин, які при систематичному прийомі можуть викликати залежність, відносять:</w:t>
      </w:r>
    </w:p>
    <w:p w:rsidR="005A7877" w:rsidRPr="005A7877" w:rsidRDefault="005A7877" w:rsidP="005A7877">
      <w:pPr>
        <w:numPr>
          <w:ilvl w:val="0"/>
          <w:numId w:val="3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lastRenderedPageBreak/>
        <w:t xml:space="preserve">наркотичні засоби (похідні опію, похідні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канабісу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— марихуана, гашиш, анаша й ін.),</w:t>
      </w:r>
    </w:p>
    <w:p w:rsidR="005A7877" w:rsidRPr="005A7877" w:rsidRDefault="005A7877" w:rsidP="005A7877">
      <w:pPr>
        <w:numPr>
          <w:ilvl w:val="0"/>
          <w:numId w:val="3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психотропні речовини, а також їхні аналоги та прекурсори (хімічні речовини, що використовуються для приготування наркотичних і психотропних речовин — ефедрин,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лізергінова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кислота, етиловий ефір, толуол та ін.).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Розвиток хімічних залежностей має певну стадійність та динаміку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[8]: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1. Синдром зміненої реактивності (зміна форми споживання, збільшення толерантності, зміна форми сп’яніння, редукція захисних реакцій при передозуванні).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2. Синдром фізичної залежності (психічний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обсесивний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потяг, відчуття фізичного дискомфорту при відсутності хімічної речовини, від якої є залежність).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3. Синдром психологічної залежності (відчуття психологічного дискомфорту при відсутності хімічної речовини, від якої сформувалася залежність, зниження психічної активності та мотивації, обмеження інтересів, збіднення емоційної сфери).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4. Синдром віддалених наслідків прийому психоактивних речовин (ПАР) (соматичні ускладнення та зміна особистості).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Поведінкова залежність, об’єктом якої є певний поведінковий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патерн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 може сформуватись і без прийому психоактивних речовин.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Нехімічну залежність може викликати будь-яка діяльність, для якої характерне прагнення відходу від реальності за допомогою зміни свого психічного стану без застосування хімічних речовин. Нехімічна адикція, як і залежність від ПАВ, займає домінуючий стан в житті й свідомості індивіда і здійснюється їм на шкоду соціальним зв’язкам та іншим життєво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важли-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вим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сферам.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У цей час до нехімічних залежностей відносять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[5; 7; 9; 10]: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гемблінг / 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лудоманію</w:t>
      </w:r>
      <w:proofErr w:type="spellEnd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(патологічну схильність до азартних ігор — за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МКХ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— F63.0)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Lesieure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H., 1984;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Volberg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R.,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Steadman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H., 1988; Короленко Ц. П., Донських Т. А., 1990; Єгоров А. Ю., 2007);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працеголізм</w:t>
      </w:r>
      <w:proofErr w:type="spellEnd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 / 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трудоголізм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Oates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W., 1972;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Mentzel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G., 1979;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Killinger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B., 1992;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Porter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G., 1996; Короленко Ц. П., 1993);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спортивну адикцію, адикцію вправ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Baekeland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Р., 1970;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Sachs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М.,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Pargman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D., 1984;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Szabo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A., 1998);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залежність від «здорового способу життя» і нетрадиційних методів відновлення здоров’я;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екстремальні види спорту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Franken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I. H. A.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et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.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al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., 2006; Короленко Ц. П., 1991;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Егоров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А. Ю., 2005),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екстремальний туризм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(спускання гірськими річками на байдарках або надувних човнах, занурення з аквалангом у зонах перебування акул, наметовий відпочинок у саванах Африки, одиночні походи в гори й ін.);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адикцію до витрати грошей, 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компульсивний</w:t>
      </w:r>
      <w:proofErr w:type="spellEnd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 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шопінг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Крепелін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Е., 1909;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Блейлер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Е., 1920;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Slater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P., 1980;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Faber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R.,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O’Guinn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T., 1992;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McElroy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S.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et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al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., 1991);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lastRenderedPageBreak/>
        <w:t>кібероніоманію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: прагнення здійснювати нові покупки в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інтернет-магазинах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, без необхідності їх придбання й врахування власних фінансових можливостей; нав’язлива участь в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онлайн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аукціонах (Бугайова Н. М., 2008) [5].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кіберкомпульсивний</w:t>
      </w:r>
      <w:proofErr w:type="spellEnd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 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шопінг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: придбання товарів за допомогою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інтернет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без урахування власних фінансових можливостей та реальних потреб;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замовлення послуг за допомогою 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інтернет</w:t>
      </w:r>
      <w:proofErr w:type="spellEnd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 без урахування їх необхідності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(Бугайова Н. М., 2008) [5].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кіберпрацеголізм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—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працеголізм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з використанням сучасних інформаційно-комунікаційних технологій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працеголізм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— надмірне захоплення своєю працею і, як результат, ненормоване виконання своїх службових обов’язків за допомогою комп’ютера, мобільного телефону,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смартфону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та ін., що призводить до фізичного та психічного перевантаження організму людини). Найбільш часто на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кіберпрацеголізм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страждають: IT-фахівці, бізнесмени, топ-менеджери та інші фахівці, чия діяльність пов’язана з використанням інформаційно-комунікаційних технологій (Бугайова Н. М., 2008) [5].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прагнення до невиправданого ризику й створення небезпечних ситуацій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(т.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зв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. стан перманентної війни)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Постнов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В. В.,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Дереча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В. А.,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Карпець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В. В., 2004);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комп’ютерну залежність/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інтернет-адикцію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Griffiths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М., 1995,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Goldberg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I., 1996;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Orzack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М., 1998,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Young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К., 1998);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адиктивний фанатизм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(релігійний (сектантство), спортивний, музичний (фанати)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Arterburn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S.,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Felton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J., 1991;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Менделевіч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В. Д., 2003,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Старшенба-ум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Г. В., 2005);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ургентну адикцію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(звичку перебувати в стані постійної недостачі часу) (Короленко Ц. П., Дмитрієва Н. В., 2000);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нав’язливий духовний пошук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Постнов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В. В.,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Дереча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В. А., 2004);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синдром 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Тоада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(т.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зв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. веселе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автоводіння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)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McBride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A. D., 2000);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адиктивне колекціонування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Котляров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А. В., 2006);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геджит-адикцію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Котляров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А. В., 2006);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залежність від мобільних телефонів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(SMS-адикцію)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Егоров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А. Ю., 2005;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Котляров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А. В., 2006);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телевізійну адикцію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Meerloo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J., 1954;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Kubey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R., 1996,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Csikszentmihalyi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M., 2002,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Егоров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А. Ю., 2005;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Котляров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А. В., 2006);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 xml:space="preserve">адикцію до 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аудіостимулі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Wright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M. P., 2002);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залежність від реклами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Котляров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А. В., 2006);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адикцію до руйнування й саморуйнування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Старшенбаум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Г. В., 2006);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комунікаційну адикцію/</w:t>
      </w: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болтоголізм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cjmmunicational</w:t>
      </w:r>
      <w:proofErr w:type="spellEnd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 xml:space="preserve"> </w:t>
      </w:r>
      <w:proofErr w:type="spellStart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addiction</w:t>
      </w:r>
      <w:proofErr w:type="spellEnd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,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proofErr w:type="spellStart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talkaholism</w:t>
      </w:r>
      <w:proofErr w:type="spellEnd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)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Walther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J. B., 1999;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Bostrom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R. N.,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Harrington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N. G., 1999;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McCroskey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J. C.,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Richmond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V. P., 1995;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Егоров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А. Ю., 2005);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адикцію стосунків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(еротичні адикції): любовні, сексуальні й уникнення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Simon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J., 1982;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Faber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R.,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O’Guinn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T., 1992;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Irons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R.,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Schneider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J., 1997; Короленко Ц. П., Дмитрієва Н. В., 2000);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б’юті-адикцію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(залежність від краси):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танорексію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(залежність від засмаги),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мейкапманію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(хворобливу пристрасть до декоративної косметики),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юноманію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(залежність від радикальних методів омолодження),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фітнесманію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(хворобливу пристрасть до занять у фітнес-центрах або спортивних клубах);</w:t>
      </w:r>
    </w:p>
    <w:p w:rsidR="005A7877" w:rsidRPr="005A7877" w:rsidRDefault="005A7877" w:rsidP="005A7877">
      <w:pPr>
        <w:numPr>
          <w:ilvl w:val="0"/>
          <w:numId w:val="4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харчові адикції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: нервову анорексію і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булімію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Gold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et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al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., 1997;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Reid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Burr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 2000; Короленко Ц. П., Дмитрієва Н. В., 2000).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lastRenderedPageBreak/>
        <w:t xml:space="preserve">Не дивлячись на досить широко представлений спектр адикцій, що мають нехімічне походження, межі первинного виникнення адиктивної поведінки визначені не були. На нашу думку,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адиктивну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поведінку слід розглядати на всіх стадіях індивідуального розвитку, оскільки її формування та розвиток проходять певні етапи і мають приховані та явні періоди.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Види залежної поведінки були доповнені ранніми типами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(Бугайова Н. М., 2010) [4]:</w:t>
      </w:r>
    </w:p>
    <w:p w:rsidR="005A7877" w:rsidRPr="005A7877" w:rsidRDefault="005A7877" w:rsidP="005A7877">
      <w:pPr>
        <w:numPr>
          <w:ilvl w:val="0"/>
          <w:numId w:val="5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сагінозалежність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sagina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лат.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— годування — гранична залежність від годування);</w:t>
      </w:r>
    </w:p>
    <w:p w:rsidR="005A7877" w:rsidRPr="005A7877" w:rsidRDefault="005A7877" w:rsidP="005A7877">
      <w:pPr>
        <w:numPr>
          <w:ilvl w:val="0"/>
          <w:numId w:val="5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феласмозалежність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felasmуs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proofErr w:type="spellStart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грец</w:t>
      </w:r>
      <w:proofErr w:type="spellEnd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.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— смоктання);</w:t>
      </w:r>
    </w:p>
    <w:p w:rsidR="005A7877" w:rsidRPr="005A7877" w:rsidRDefault="005A7877" w:rsidP="005A7877">
      <w:pPr>
        <w:numPr>
          <w:ilvl w:val="0"/>
          <w:numId w:val="5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парентозалежність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parentes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лат.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— батьки) — залежність від присутності батьків при засипанні або страх розставання з ними (продиктована потребою дитини у захисті, який, на її думку, здатні дати їй близькі люди);</w:t>
      </w:r>
    </w:p>
    <w:p w:rsidR="005A7877" w:rsidRPr="005A7877" w:rsidRDefault="005A7877" w:rsidP="005A7877">
      <w:pPr>
        <w:numPr>
          <w:ilvl w:val="0"/>
          <w:numId w:val="5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пезозалежність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pezo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proofErr w:type="spellStart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грец</w:t>
      </w:r>
      <w:proofErr w:type="spellEnd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.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— грати) (залежність від ігрової діяльності);</w:t>
      </w:r>
    </w:p>
    <w:p w:rsidR="005A7877" w:rsidRPr="005A7877" w:rsidRDefault="005A7877" w:rsidP="005A7877">
      <w:pPr>
        <w:numPr>
          <w:ilvl w:val="0"/>
          <w:numId w:val="5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ікогенозалежність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(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ikogenia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proofErr w:type="spellStart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грец</w:t>
      </w:r>
      <w:proofErr w:type="spellEnd"/>
      <w:r w:rsidRPr="005A7877">
        <w:rPr>
          <w:rFonts w:ascii="Georgia" w:eastAsia="Times New Roman" w:hAnsi="Georgia"/>
          <w:i/>
          <w:iCs/>
          <w:color w:val="5C1E1E"/>
          <w:sz w:val="21"/>
          <w:lang w:eastAsia="uk-UA"/>
        </w:rPr>
        <w:t>.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— родина) — прагнення перебувати серед членів своєї родини й неготовність до зміни звичного мікросоціального оточення.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Видатний вчений С.Д.Максименко писав, що у процесі еволюції особливої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життєутворюючої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основи — нужди, відбувається активація психічного, що викликає особистісну дію людини, яка, у ранньому онтогенезі є винятково афективною, однак уже має спонукальну силу. Зустріч такої дії з об’єктом породжує не тільки пізнання, але й задоволення від цієї «ділянки» потреби. При цьому потреба включає єдність і протиріччя біологічних і соціальних джерел досвіду [12].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Заспокоєння у дитини викликає не тільки факт насичення, але й сам акт смоктання, що є, по суті, символічним заміщенням процесу годування з метою досягнення дитиною емоційної стабільності. На ослаблення негативних емоцій і відновлення емоційної рівноваги спрямоване смоктання дитиною соски, пальців та інших предметів. При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сагіно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й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феласмозалежності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задіяні моторика й психологічна складова, тобто дані феномени мають психофізіологічну основу. Під залежною поведінкою, у цьому випадку, розуміється нав’язливе прагнення дитини до смоктання, як до основного способу порятунку від тривог і страхів, навіть по закінченні початкового періоду розвитку.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Основними порушеннями харчової поведінки є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: анорексія і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булімія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.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Сагінозалежність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, на нашу думку, може стати підґрунтям до виникнення у подальшому житті людини харчових розладів, наприклад,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булімії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, коли, у ситуації стресу, людина намагається заспокоювати себе за допомогою надмірної їжі. Нервова анорексія і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булімія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займають проміжний стан між хімічними (з використанням ПАВ) й нехімічними (поведінковими) залежностями, оскільки у формуванні даних адикцій задіяні поведінкові й біохімічні механізми.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Для молодшого шкільного віку характерна, насамперед, зміна соціального статусу дитини. Виникає необхідність адаптації до нового виду діяльності й соціального оточення.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Ікогенозалежність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порушує (гальмує) адаптацію дитини до нових умов (дитячий садок або школа) і негативно впливає на її соціалізацію, а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пезозалежність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викликає затримку переходу від ігрової діяльності до навчальної.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lastRenderedPageBreak/>
        <w:t xml:space="preserve">Невирішені конфлікти першого року життя можуть призводити до «депресивних форм страху, порожнечі й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покинутості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» [18], а також стати причиною формування й розвитку ранніх форм залежної поведінки (наприклад, схильності до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созалежності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), що не дозволить дитині здійснити повноцінний перехід від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організмового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існування до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індивідного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рівня розвитку (М.-Л. А.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Чепа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 2005) [17].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Відомо, що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для еволюції системи необхідне</w:t>
      </w:r>
      <w:r w:rsidRPr="005A7877">
        <w:rPr>
          <w:rFonts w:ascii="Georgia" w:eastAsia="Times New Roman" w:hAnsi="Georgia"/>
          <w:color w:val="5C1E1E"/>
          <w:sz w:val="21"/>
          <w:lang w:eastAsia="uk-UA"/>
        </w:rPr>
        <w:t> </w:t>
      </w: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дотримання наступних принципів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синергетики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:</w:t>
      </w:r>
    </w:p>
    <w:p w:rsidR="005A7877" w:rsidRPr="005A7877" w:rsidRDefault="005A7877" w:rsidP="005A7877">
      <w:pPr>
        <w:numPr>
          <w:ilvl w:val="0"/>
          <w:numId w:val="6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нелінійність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(багатоваріантність і альтернативність шляхів розвитку, рішення задачі, вибору);</w:t>
      </w:r>
    </w:p>
    <w:p w:rsidR="005A7877" w:rsidRPr="005A7877" w:rsidRDefault="005A7877" w:rsidP="005A7877">
      <w:pPr>
        <w:numPr>
          <w:ilvl w:val="0"/>
          <w:numId w:val="6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нестійкість (чутливість до флуктуацій);</w:t>
      </w:r>
    </w:p>
    <w:p w:rsidR="005A7877" w:rsidRPr="005A7877" w:rsidRDefault="005A7877" w:rsidP="005A7877">
      <w:pPr>
        <w:numPr>
          <w:ilvl w:val="0"/>
          <w:numId w:val="6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незамкнутість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(здатність до обміну енергією, інформацією);</w:t>
      </w:r>
    </w:p>
    <w:p w:rsidR="005A7877" w:rsidRPr="005A7877" w:rsidRDefault="005A7877" w:rsidP="005A7877">
      <w:pPr>
        <w:numPr>
          <w:ilvl w:val="0"/>
          <w:numId w:val="6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динамічна ієрархічність (становлення, народження і загибель ієрархічних рівнів системи в результаті проходження нею точок біфуркацій);</w:t>
      </w:r>
    </w:p>
    <w:p w:rsidR="005A7877" w:rsidRPr="005A7877" w:rsidRDefault="005A7877" w:rsidP="005A7877">
      <w:pPr>
        <w:numPr>
          <w:ilvl w:val="0"/>
          <w:numId w:val="6"/>
        </w:numPr>
        <w:shd w:val="clear" w:color="auto" w:fill="FEF6F6"/>
        <w:spacing w:before="100" w:beforeAutospacing="1" w:after="100" w:afterAutospacing="1" w:line="337" w:lineRule="atLeast"/>
        <w:ind w:left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спостережність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(відносність інтерпретацій до масштабу спостережень і первинного очікуваного результату).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У періоди вікових та індивідуальних криз (починаючи з самих ранніх) в точках біфуркації через хаос відбувається або виникнення залежної поведінки з подальшим формуванням адикції, або подолання кризи і перехід на новий рівень стабільного розвитку. При цьому слід враховувати, що вірогідність подій розвитку адиктивної поведінки залежить від особливостей проходження нелінійною системою сукупності точок біфуркацій.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При цьому, у разі деструктивного розвитку подій відбуваються наступні етапи: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jc w:val="center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>
        <w:rPr>
          <w:rFonts w:ascii="Georgia" w:eastAsia="Times New Roman" w:hAnsi="Georgia"/>
          <w:noProof/>
          <w:color w:val="5C1E1E"/>
          <w:sz w:val="21"/>
          <w:szCs w:val="21"/>
          <w:lang w:eastAsia="uk-UA"/>
        </w:rPr>
        <w:drawing>
          <wp:inline distT="0" distB="0" distL="0" distR="0">
            <wp:extent cx="7515225" cy="2009775"/>
            <wp:effectExtent l="0" t="0" r="9525" b="0"/>
            <wp:docPr id="1" name="Рисунок 1" descr="http://www.psy-genetno.org.ua/sites/default/files/pictures/monografii/statti/Rujnuvannya_sistemy_2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sy-genetno.org.ua/sites/default/files/pictures/monografii/statti/Rujnuvannya_sistemy_201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У разі конструктивного розвитку подій система буде проходити інші етапи: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jc w:val="center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>
        <w:rPr>
          <w:rFonts w:ascii="Georgia" w:eastAsia="Times New Roman" w:hAnsi="Georgia"/>
          <w:noProof/>
          <w:color w:val="5C1E1E"/>
          <w:sz w:val="21"/>
          <w:szCs w:val="21"/>
          <w:lang w:eastAsia="uk-UA"/>
        </w:rPr>
        <w:drawing>
          <wp:inline distT="0" distB="0" distL="0" distR="0">
            <wp:extent cx="5838825" cy="733425"/>
            <wp:effectExtent l="0" t="0" r="9525" b="0"/>
            <wp:docPr id="2" name="Рисунок 2" descr="http://www.psy-genetno.org.ua/sites/default/files/pictures/monografii/statti/Stabilizatziya_sistemy_2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y-genetno.org.ua/sites/default/files/pictures/monografii/statti/Stabilizatziya_sistemy_201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Невирішені конфлікти першого року життя можуть приводити до «депресивних форм страху порожнечі й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покинутості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» [11], а також стати причиною формування й розвитку ранніх форм залежної поведінки (наприклад, схильності до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созалежності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), що не дозволить дитині здійснити повноцінний перехід від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організмового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існування до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індивідного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рівня розвитку (М.-Л. 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Чепа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, 2005) [10].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lastRenderedPageBreak/>
        <w:t xml:space="preserve">Відомо, що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адикти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знаходяться у стані перманентної кризи певного вікового рівня розвитку, тому енергетичний потенціал нужди (Максименко С. Д., 2006), який є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онтогенетично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запрограмованим на подолання кризи та перехід на новий ступінь особистісного розвитку, може втілитись у інші форми деструктивної активності, однією з яких і є залежна поведінка [13].</w:t>
      </w:r>
    </w:p>
    <w:p w:rsidR="005A7877" w:rsidRPr="005A7877" w:rsidRDefault="005A7877" w:rsidP="005A7877">
      <w:pPr>
        <w:shd w:val="clear" w:color="auto" w:fill="FEF6F6"/>
        <w:spacing w:after="288"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b/>
          <w:bCs/>
          <w:color w:val="5C1E1E"/>
          <w:sz w:val="21"/>
          <w:lang w:eastAsia="uk-UA"/>
        </w:rPr>
        <w:t>Висновки:</w:t>
      </w:r>
    </w:p>
    <w:p w:rsidR="005A7877" w:rsidRPr="005A7877" w:rsidRDefault="005A7877" w:rsidP="005A7877">
      <w:pPr>
        <w:shd w:val="clear" w:color="auto" w:fill="FEF6F6"/>
        <w:spacing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Саме переломні періоди потенціюють виникнення й розвиток адиктивної поведінки, оскільки в ході кризи може відбутися стагнація розвитку особистості, у результаті якої завершення переходу до нового етапу онтогенезу буде неможливим.</w:t>
      </w:r>
    </w:p>
    <w:p w:rsidR="005A7877" w:rsidRPr="005A7877" w:rsidRDefault="005A7877" w:rsidP="005A7877">
      <w:pPr>
        <w:shd w:val="clear" w:color="auto" w:fill="FEF6F6"/>
        <w:spacing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2"/>
          <w:szCs w:val="22"/>
          <w:lang w:eastAsia="uk-UA"/>
        </w:rPr>
        <w:t> </w:t>
      </w:r>
    </w:p>
    <w:p w:rsidR="005A7877" w:rsidRPr="005A7877" w:rsidRDefault="005A7877" w:rsidP="005A7877">
      <w:pPr>
        <w:shd w:val="clear" w:color="auto" w:fill="FEF6F6"/>
        <w:spacing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Успішний вихід із кризи припускає перехід на якісно новий рівень існування и перехід системи до стабільного стану.</w:t>
      </w:r>
    </w:p>
    <w:p w:rsidR="005A7877" w:rsidRPr="005A7877" w:rsidRDefault="005A7877" w:rsidP="005A7877">
      <w:pPr>
        <w:shd w:val="clear" w:color="auto" w:fill="FEF6F6"/>
        <w:spacing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2"/>
          <w:szCs w:val="22"/>
          <w:lang w:eastAsia="uk-UA"/>
        </w:rPr>
        <w:t> </w:t>
      </w:r>
    </w:p>
    <w:p w:rsidR="005A7877" w:rsidRPr="005A7877" w:rsidRDefault="005A7877" w:rsidP="005A7877">
      <w:pPr>
        <w:shd w:val="clear" w:color="auto" w:fill="FEF6F6"/>
        <w:spacing w:line="337" w:lineRule="atLeast"/>
        <w:ind w:firstLine="0"/>
        <w:rPr>
          <w:rFonts w:ascii="Georgia" w:eastAsia="Times New Roman" w:hAnsi="Georgia"/>
          <w:color w:val="5C1E1E"/>
          <w:sz w:val="22"/>
          <w:szCs w:val="22"/>
          <w:lang w:eastAsia="uk-UA"/>
        </w:rPr>
      </w:pPr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Новий погляд на виникнення та розвиток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аутодеструктивної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поведінки на сталих та кризових стадіях індивідуального розвитку з точки зору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синергетичних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аспектів теорії самоорганізації, визначення точок біфуркації для конструктивної дії на систему дозволить сформувати новий підхід в розробці превентивних та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психокорекційних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</w:t>
      </w:r>
      <w:proofErr w:type="spellStart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>антиадиктивних</w:t>
      </w:r>
      <w:proofErr w:type="spellEnd"/>
      <w:r w:rsidRPr="005A7877">
        <w:rPr>
          <w:rFonts w:ascii="Georgia" w:eastAsia="Times New Roman" w:hAnsi="Georgia"/>
          <w:color w:val="5C1E1E"/>
          <w:sz w:val="21"/>
          <w:szCs w:val="21"/>
          <w:lang w:eastAsia="uk-UA"/>
        </w:rPr>
        <w:t xml:space="preserve"> програм.</w:t>
      </w:r>
    </w:p>
    <w:p w:rsidR="005650BF" w:rsidRDefault="005650BF"/>
    <w:sectPr w:rsidR="005650BF" w:rsidSect="005650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7061C"/>
    <w:multiLevelType w:val="multilevel"/>
    <w:tmpl w:val="218C6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143907"/>
    <w:multiLevelType w:val="multilevel"/>
    <w:tmpl w:val="0C42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B8118E"/>
    <w:multiLevelType w:val="multilevel"/>
    <w:tmpl w:val="54CA2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542800"/>
    <w:multiLevelType w:val="multilevel"/>
    <w:tmpl w:val="81F6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4400C7"/>
    <w:multiLevelType w:val="multilevel"/>
    <w:tmpl w:val="0F941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D770FC"/>
    <w:multiLevelType w:val="multilevel"/>
    <w:tmpl w:val="A24A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877"/>
    <w:rsid w:val="002C43F7"/>
    <w:rsid w:val="005650BF"/>
    <w:rsid w:val="005A7877"/>
    <w:rsid w:val="005C41ED"/>
    <w:rsid w:val="006E6CD5"/>
    <w:rsid w:val="007D34FC"/>
    <w:rsid w:val="008933C2"/>
    <w:rsid w:val="00A029F9"/>
    <w:rsid w:val="00BC61C7"/>
    <w:rsid w:val="00E9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BF"/>
  </w:style>
  <w:style w:type="paragraph" w:styleId="1">
    <w:name w:val="heading 1"/>
    <w:basedOn w:val="a"/>
    <w:link w:val="10"/>
    <w:uiPriority w:val="9"/>
    <w:qFormat/>
    <w:rsid w:val="005A7877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5A787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A7877"/>
    <w:rPr>
      <w:b/>
      <w:bCs/>
    </w:rPr>
  </w:style>
  <w:style w:type="character" w:customStyle="1" w:styleId="apple-converted-space">
    <w:name w:val="apple-converted-space"/>
    <w:basedOn w:val="a0"/>
    <w:rsid w:val="005A7877"/>
  </w:style>
  <w:style w:type="character" w:styleId="a4">
    <w:name w:val="Emphasis"/>
    <w:basedOn w:val="a0"/>
    <w:uiPriority w:val="20"/>
    <w:qFormat/>
    <w:rsid w:val="005A7877"/>
    <w:rPr>
      <w:i/>
      <w:iCs/>
    </w:rPr>
  </w:style>
  <w:style w:type="paragraph" w:customStyle="1" w:styleId="rtecenter">
    <w:name w:val="rtecenter"/>
    <w:basedOn w:val="a"/>
    <w:rsid w:val="005A7877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A78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A7877"/>
    <w:rPr>
      <w:rFonts w:eastAsia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8333</Words>
  <Characters>4751</Characters>
  <Application>Microsoft Office Word</Application>
  <DocSecurity>0</DocSecurity>
  <Lines>39</Lines>
  <Paragraphs>26</Paragraphs>
  <ScaleCrop>false</ScaleCrop>
  <Company>Microsoft</Company>
  <LinksUpToDate>false</LinksUpToDate>
  <CharactersWithSpaces>13058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</dc:creator>
  <cp:lastModifiedBy>Наталя</cp:lastModifiedBy>
  <cp:revision>1</cp:revision>
  <dcterms:created xsi:type="dcterms:W3CDTF">2015-07-11T07:44:00Z</dcterms:created>
  <dcterms:modified xsi:type="dcterms:W3CDTF">2015-07-11T07:55:00Z</dcterms:modified>
</cp:coreProperties>
</file>