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C87" w:rsidRPr="00F11C87" w:rsidRDefault="00F11C87" w:rsidP="00F11C87">
      <w:pPr>
        <w:shd w:val="clear" w:color="auto" w:fill="FFFFFF"/>
        <w:spacing w:before="180" w:after="180" w:line="360" w:lineRule="atLeast"/>
        <w:outlineLvl w:val="1"/>
        <w:rPr>
          <w:rFonts w:ascii="Arial" w:eastAsia="Times New Roman" w:hAnsi="Arial" w:cs="Arial"/>
          <w:b/>
          <w:bCs/>
          <w:color w:val="333333"/>
          <w:sz w:val="33"/>
          <w:szCs w:val="33"/>
          <w:lang w:eastAsia="ru-RU"/>
        </w:rPr>
      </w:pPr>
      <w:bookmarkStart w:id="0" w:name="_GoBack"/>
      <w:bookmarkEnd w:id="0"/>
      <w:r w:rsidRPr="00F11C87">
        <w:rPr>
          <w:rFonts w:ascii="Arial" w:eastAsia="Times New Roman" w:hAnsi="Arial" w:cs="Arial"/>
          <w:b/>
          <w:bCs/>
          <w:color w:val="333333"/>
          <w:sz w:val="33"/>
          <w:szCs w:val="33"/>
          <w:lang w:eastAsia="ru-RU"/>
        </w:rPr>
        <w:t>ТЕОРЕТИЧНІ ОСНОВИ КОМПОЗИЦІЇ В ОБРАЗОТВОРЧОМУ МИСТЕЦТВІ</w:t>
      </w:r>
    </w:p>
    <w:p w:rsidR="00F11C87" w:rsidRDefault="00F11C87" w:rsidP="00F11C87">
      <w:pPr>
        <w:shd w:val="clear" w:color="auto" w:fill="FFFFFF"/>
        <w:spacing w:after="135" w:line="240" w:lineRule="auto"/>
        <w:ind w:left="135"/>
        <w:jc w:val="right"/>
        <w:rPr>
          <w:rFonts w:ascii="Helvetica" w:eastAsia="Times New Roman" w:hAnsi="Helvetica" w:cs="Helvetica"/>
          <w:b/>
          <w:bCs/>
          <w:color w:val="999999"/>
          <w:sz w:val="20"/>
          <w:szCs w:val="20"/>
          <w:lang w:val="en-US" w:eastAsia="ru-RU"/>
        </w:rPr>
      </w:pPr>
    </w:p>
    <w:p w:rsidR="00F11C87" w:rsidRDefault="00F11C87" w:rsidP="00F11C87">
      <w:pPr>
        <w:shd w:val="clear" w:color="auto" w:fill="FFFFFF"/>
        <w:spacing w:after="135" w:line="240" w:lineRule="auto"/>
        <w:ind w:left="135"/>
        <w:jc w:val="right"/>
        <w:rPr>
          <w:rFonts w:ascii="Helvetica" w:eastAsia="Times New Roman" w:hAnsi="Helvetica" w:cs="Helvetica"/>
          <w:b/>
          <w:bCs/>
          <w:color w:val="999999"/>
          <w:sz w:val="20"/>
          <w:szCs w:val="20"/>
          <w:lang w:val="en-US" w:eastAsia="ru-RU"/>
        </w:rPr>
      </w:pP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righ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Крюкова Ганна </w:t>
      </w:r>
      <w:proofErr w:type="spellStart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Олексіївна</w:t>
      </w:r>
      <w:proofErr w:type="spellEnd"/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righ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proofErr w:type="spellStart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Заслужений</w:t>
      </w:r>
      <w:proofErr w:type="spellEnd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художник </w:t>
      </w:r>
      <w:proofErr w:type="spellStart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України</w:t>
      </w:r>
      <w:proofErr w:type="spellEnd"/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righ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Доцент </w:t>
      </w:r>
      <w:proofErr w:type="spellStart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кафедри</w:t>
      </w:r>
      <w:proofErr w:type="spellEnd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образотворчого</w:t>
      </w:r>
      <w:proofErr w:type="spellEnd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мистецтва</w:t>
      </w:r>
      <w:proofErr w:type="spellEnd"/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righ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proofErr w:type="spellStart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Інституту</w:t>
      </w:r>
      <w:proofErr w:type="spellEnd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мистецтв</w:t>
      </w:r>
      <w:proofErr w:type="spellEnd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Київського</w:t>
      </w:r>
      <w:proofErr w:type="spellEnd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університету</w:t>
      </w:r>
      <w:proofErr w:type="spellEnd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імені</w:t>
      </w:r>
      <w:proofErr w:type="spellEnd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Бориса </w:t>
      </w:r>
      <w:proofErr w:type="spellStart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Грінченка</w:t>
      </w:r>
      <w:proofErr w:type="spellEnd"/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righ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righ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proofErr w:type="spellStart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Мостовщикова</w:t>
      </w:r>
      <w:proofErr w:type="spellEnd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Дар’я</w:t>
      </w:r>
      <w:proofErr w:type="spellEnd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Олегівна</w:t>
      </w:r>
      <w:proofErr w:type="spellEnd"/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righ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Член </w:t>
      </w:r>
      <w:proofErr w:type="spellStart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національної</w:t>
      </w:r>
      <w:proofErr w:type="spellEnd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спілки</w:t>
      </w:r>
      <w:proofErr w:type="spellEnd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художників</w:t>
      </w:r>
      <w:proofErr w:type="spellEnd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України</w:t>
      </w:r>
      <w:proofErr w:type="spellEnd"/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righ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proofErr w:type="spellStart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Магістр</w:t>
      </w:r>
      <w:proofErr w:type="spellEnd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інституту</w:t>
      </w:r>
      <w:proofErr w:type="spellEnd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мистецтв</w:t>
      </w:r>
      <w:proofErr w:type="spellEnd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Київського</w:t>
      </w:r>
      <w:proofErr w:type="spellEnd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університету</w:t>
      </w:r>
      <w:proofErr w:type="spellEnd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імені</w:t>
      </w:r>
      <w:proofErr w:type="spellEnd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Бориса </w:t>
      </w:r>
      <w:proofErr w:type="spellStart"/>
      <w:r w:rsidRPr="00F11C87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ru-RU"/>
        </w:rPr>
        <w:t>Грінченка</w:t>
      </w:r>
      <w:proofErr w:type="spellEnd"/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 </w:t>
      </w:r>
      <w:proofErr w:type="spellStart"/>
      <w:r w:rsidRPr="00F11C87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Анотація</w:t>
      </w:r>
      <w:proofErr w:type="spellEnd"/>
      <w:r w:rsidRPr="00F11C87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:</w:t>
      </w:r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 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виділено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 систему 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композиційних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закономірностей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які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 є основою 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художньої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творчості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. 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Розглянуто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 та 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проаналізовано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особливості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побудови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 сюжетно-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тематичної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картини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 на прикладах 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конкретних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 полотен. 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Підкреслено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важливість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взаємодії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між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 собою 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всіх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законів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композиції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 для 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досягнення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гармонії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 в 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роботі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.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 </w:t>
      </w:r>
      <w:proofErr w:type="spellStart"/>
      <w:r w:rsidRPr="00F11C87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Ключові</w:t>
      </w:r>
      <w:proofErr w:type="spellEnd"/>
      <w:r w:rsidRPr="00F11C87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 xml:space="preserve"> слова:</w:t>
      </w:r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 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композиція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закони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композиції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, художник, художник-педагог, ритм, 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симетрія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пропорції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цілісність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, закон головного в 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цілому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.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 Робота над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ескізом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картини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–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завжди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подорож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незвідане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Вона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змушує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художника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замислитися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про те,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існують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якісь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загальні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закономірності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композиційної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побудови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і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якщо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існують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то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чим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вони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обумовлені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Чому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 одному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випадку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картина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викликає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у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глядача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певні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емоції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а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іншому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залишає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його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байдужим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Аналіз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історичного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досвіду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світового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мистецтва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допоміг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з’ясувати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певні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закономірності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що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лежать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основі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художньої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творчості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Вони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об’єктивні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тому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що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не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залежать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від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особливостей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тих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інших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шкіл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і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напрямів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течій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і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творчих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індивідуальностей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окремих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художників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вони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невід’ємні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від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самої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природи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мистецтва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Саме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вони і є законами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На думку Л.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Альберті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композицію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можна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науково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-методично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обґрунтувати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адже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як правило,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будь-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якого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живописного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твору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заздалегідь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обмірковується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Основи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вивчення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графічного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твору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і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твору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живопису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тісно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поєднані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з законами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[1].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Аналіз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науково-теоретичних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досліджень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вчених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художників-педагогів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мистецтвознавців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області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теорії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довів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що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існують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різні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точки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зору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на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головні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композиційні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закономірності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Так,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наприклад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Є. Шорохов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виділяє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чотири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основних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закони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зокрема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закон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цілісності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типізації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контрастів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підпорядкування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всіх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складових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ідейному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задуму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картини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[2], О. Голубева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стверджує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що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існує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лише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два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головних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закони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: перший – закон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рівноваги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другий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– закон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єдності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підпорядкованості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[3, с. 47]. З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позиції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Р.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Паранюшкіна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не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слід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використовувати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термін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«закон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»,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він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формулює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п’ять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якостей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які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є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провідними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при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створенні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художнього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образу: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узагальнення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типізація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емоційна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наповненість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узагальнена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значущість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образу, новизна та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життєвість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[4, с. 72].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Відповідно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до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вчення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М.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Манізера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існує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десять правил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А.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Лаптєв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визначає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п’ять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правил [5, с. 16 – 18], за А.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Дейнеком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–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дев’ять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композиційних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правил [6], В.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Яковлєв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говорив,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що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існує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дванадцять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загальних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законів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і сорок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приватних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правил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композиційного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рішення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тематичної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картини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 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Таке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розмаїття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трактувань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щодо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визначень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законів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викликане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змішанням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поняття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: «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закони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», «правила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» та «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принципи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».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Знайти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закони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і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побудувати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наукову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теорію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на думку Ф. Ковалева,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можна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тільки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тоді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коли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закони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не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будуть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конструювати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на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основі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умовиводів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будуть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виходити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з реально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існуючих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об’єктивних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законів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формоутворення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природі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і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мистецтві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[7, с. 42].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lastRenderedPageBreak/>
        <w:t> 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Термін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«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»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перекладі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з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латинської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тлумачиться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як «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складання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поєднання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чого-небудь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». Людина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працюючи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над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художнім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твором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об'єднує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частини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так,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щоб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вони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утворили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єдине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ціле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Наявність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цілого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– перший закон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Ціле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складається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з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частин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частини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знаходяться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певному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співвідношенні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за величиною один з одним та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цілим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–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пропорції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(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другий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закон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). Як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розташовані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частини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цілого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один до одного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пов’язано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з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поняттям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симетрії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Частини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цілого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повторюються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або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певним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чином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чергуються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ритм. І,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нарешті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частини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об’єднуються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навколо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чогось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головного (в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картині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головна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дійова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особа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або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група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).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Отже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Ф. Ковалев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визначає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п’ять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законів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прояв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яких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можна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знайти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 будь-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якому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творі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мистецтва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незалежно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від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часу і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місця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його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створення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: 1) закон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цілісності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2) закон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пропорцій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3) закон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симетрії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4) закон ритму, 5) закон головного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цілому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gram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[ 7</w:t>
      </w:r>
      <w:proofErr w:type="gram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, с. 46].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</w:t>
      </w:r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Закон 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цілісності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.</w:t>
      </w: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Світ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–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гармонія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і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ритміка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вважали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греки.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Протягом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усієї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історії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людства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не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припинялися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пошуки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загального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закону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Гармонії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Ньютон,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Поліклет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Дюрер, Кеплер,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Альберті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Вітрувій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Хогарт, Кант, Гегель та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інші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намагалися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вирішити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своїх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дослідженнях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і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творчості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поставлену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задачу.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Вчені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довели,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що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пізнання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єдності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і є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пізнання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гармонії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так як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два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поняття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тісно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переплітаються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між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собою.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Гармонія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–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особлива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цілісна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єдність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що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охоплює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абсолютно все суще, як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матеріальне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так і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ідеальне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Гармонія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– закон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саме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такої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єдності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закон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цілого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Гармонія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є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зв’язком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різних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частин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єдине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ціле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цей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зв'язок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є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складним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різноманітним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[8, с. 135].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 Тому,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поєднуючи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різні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елементи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гармонійну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композицію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необхідно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щоб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була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єдина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має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бути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відображено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єдності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пластичного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рішення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образного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розкриття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теми,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колористичного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і фактурного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рішення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Кожен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елемент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картині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має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логічно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взаємодіяти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з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іншими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елементами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виконувати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свою роль, без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якої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неможливо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було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б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гармонійне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завершення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виступає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як система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внутрішніх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зв’язків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які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поєднують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всі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компоненти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форми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змісту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єдине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ціле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[9, с. 18].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</w:t>
      </w:r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Головне в 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цілому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.</w:t>
      </w: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Цілісності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зображення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можна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досягти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шляхом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підпорядкування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Але, перш за все,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потрібно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звернути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увагу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на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організацію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композиційного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центру, так як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більшості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випадків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підпорядкування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відбувається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між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центром і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іншими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елементами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При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організації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композиційного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центру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варто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враховувати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закони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візуального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сприймання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на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площині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Без них не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знайти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головного,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можливо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лише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завдяки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протиставленню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Поглянемо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на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картини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Г.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Терборха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–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майстра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побутового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жанру (див. Мал. 1).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Навіть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повсякденні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звичні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сцени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життя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картині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художника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набувають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поетичної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витонченості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та аристократизму. Часто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його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роботах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світлотінь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приховує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певні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деталі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тим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самим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узагальнюючи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поглиблюючи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простір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Увагу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відразу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привертає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дівчина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у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світлій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атласній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сукні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– вона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композиційний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центр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картини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Білий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песик та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картини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на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лівій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стіні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«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тримають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»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композицію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у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рівновазі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Художнику правдиво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вдається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передати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фактуру та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матеріальність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предметів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підібрати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вдалу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композицію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кольорове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вирішення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настільки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що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картини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із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звичними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сюжетами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здаються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новелами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повними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пригод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Цей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прийом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використаний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і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картині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«Дама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білій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атласній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сукні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перед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ліжком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з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червоним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пологом».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цій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роботі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автор детально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прописує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головні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деталі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другорядні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об’єднує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локальним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кольором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В.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Фаворський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писав,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що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споглядаючи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картину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глядач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зовсім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інакше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сприймає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середину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площини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і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її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краї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Краї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площині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утворюють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, (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хочемо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ми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цього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),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певне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обрамлення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а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центрі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відчувається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повною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силою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глибина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простір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[10, с. 250]. 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center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b/>
          <w:bCs/>
          <w:noProof/>
          <w:color w:val="333333"/>
          <w:sz w:val="20"/>
          <w:szCs w:val="20"/>
          <w:lang w:val="uk-UA" w:eastAsia="uk-UA"/>
        </w:rPr>
        <w:lastRenderedPageBreak/>
        <w:drawing>
          <wp:inline distT="0" distB="0" distL="0" distR="0">
            <wp:extent cx="3111500" cy="3810000"/>
            <wp:effectExtent l="0" t="0" r="0" b="0"/>
            <wp:docPr id="2" name="Рисунок 2" descr="http://naukam.triada.in.ua/images/files/konf20/Krukov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aukam.triada.in.ua/images/files/konf20/Krukova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 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center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Мал. 1 </w:t>
      </w:r>
      <w:proofErr w:type="spellStart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Терборх</w:t>
      </w:r>
      <w:proofErr w:type="spellEnd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Г. «Дама, </w:t>
      </w:r>
      <w:proofErr w:type="spellStart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що</w:t>
      </w:r>
      <w:proofErr w:type="spellEnd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омиває</w:t>
      </w:r>
      <w:proofErr w:type="spellEnd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руки» 1655 р.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Пропорції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.</w:t>
      </w: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Продовжуючи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тему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єдності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цілісного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твору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зрозуміло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що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пропорції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і є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тим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засобом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основі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якого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закладена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ідея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співвідношення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цілого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і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складових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частин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Пропорції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співідношення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частин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цілого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між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собою і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цим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цілим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добу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Ренесансу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середньопропорційне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зіставлення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називали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божественною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пропорцією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Леонардо да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Вінчі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вивчаючи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системи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пропорції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ввів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термін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«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золотий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перетин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». 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Необхідно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зазначити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що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проблема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знаходження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пропорцій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– одна з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найскладніших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художніх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проблем,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що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вимагають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осмислення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Вражає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своєю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композицією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елементами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симетрії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повторенням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рівних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величин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відповідно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золотого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перетину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робота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української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художниці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Т.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Яблонської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«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Хліб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» (див. Мал. 2).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Композиційний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центр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знаходиться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геометричному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центрі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полотна,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застосовується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«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золотий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» вид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симетрії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симетрія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та система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пропорцій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дають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художнику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інструмент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для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самоперевірки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для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перевірки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створеного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інтуїтивно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картина є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чудовим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прикладом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застосування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знань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з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рисунку та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живопису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на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практиці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споглядаючи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її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є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чому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повчитись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сучасній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молоді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center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b/>
          <w:bCs/>
          <w:noProof/>
          <w:color w:val="333333"/>
          <w:sz w:val="20"/>
          <w:szCs w:val="20"/>
          <w:lang w:val="uk-UA" w:eastAsia="uk-UA"/>
        </w:rPr>
        <w:lastRenderedPageBreak/>
        <w:drawing>
          <wp:inline distT="0" distB="0" distL="0" distR="0">
            <wp:extent cx="6248400" cy="3733800"/>
            <wp:effectExtent l="0" t="0" r="0" b="0"/>
            <wp:docPr id="1" name="Рисунок 1" descr="http://naukam.triada.in.ua/images/files/konf20/Krukov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naukam.triada.in.ua/images/files/konf20/Krukova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 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center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Мал. 2 </w:t>
      </w:r>
      <w:proofErr w:type="spellStart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Яблонська</w:t>
      </w:r>
      <w:proofErr w:type="spellEnd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Т. «</w:t>
      </w:r>
      <w:proofErr w:type="spellStart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Хліб</w:t>
      </w:r>
      <w:proofErr w:type="spellEnd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» 1949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</w:t>
      </w:r>
      <w:proofErr w:type="spellStart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Симетрія</w:t>
      </w:r>
      <w:proofErr w:type="spellEnd"/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.</w:t>
      </w: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 При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повній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симетрії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права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частина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картини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неначе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дзеркалі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відображається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лівій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частині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Така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часто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зустрічається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 орнаментах та фресках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релігійного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спрямування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Окрім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статичної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симетрії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існує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і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динамічна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симетрія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якій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немає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повного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дзеркального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відображення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(правило золотого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перетину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).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Врівноважити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симетричну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композицію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набагато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простіше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ніж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асиметричну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і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досягти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цього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можна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простими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засобами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оскільки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симетрія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вже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створює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основу для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композиційної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рівноваги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Врівноважити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асиметричну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композицію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можливо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за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допомогою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таких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засобів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як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колір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і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його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насиченість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форма і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її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конфігурація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орієнтація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на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площині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фактура, 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також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врівноваження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можна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досягти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завдяки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контрасту, нюансу і масштабу.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</w:t>
      </w:r>
      <w:r w:rsidRPr="00F11C87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Ритм.</w:t>
      </w: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 Ритм є одним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із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засобів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що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найчастіше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використовується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для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побудови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гармонійної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У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самій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природі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вже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закладений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ритм.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Природний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ритм, як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відображення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закономірностей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реального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світу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увійшов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у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всі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види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мистецтва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і став одним з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головних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засобів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організації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художньої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форми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Ритм, за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визначенням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–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рівномірне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чергування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елементів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З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позиції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науковця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основою будь –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якої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композиційної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структури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є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симетрія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і ритм.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мистецтві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та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природі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знаходяться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тісному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зв’язку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Ритмічний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рух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не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обов'язково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має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бути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горизонтальним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він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може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розвиватися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і по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спіралі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 Ритм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може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бути простим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або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складним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Простий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ритм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повторює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одні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і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самі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форми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складний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–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повторює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групи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форм.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Композиційний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ритм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складається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мінімум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з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трьох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елементів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ритмічний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ряд – з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чотирьох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і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більше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[9, с. 62].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Якщо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ритм –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обов’язково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зміна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або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можна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сказати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рух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то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повторення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без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зміни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– метр.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Якщо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розвиток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ритму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має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межі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то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метрична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може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повторюватися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нескінченно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Яскравим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прикладом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метричного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ряду служить орнамент.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Метричні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широко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використовуються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 декоративно-прикладному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мистецтві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Для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метричних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характерна статика – стан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спокою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На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відміну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від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метра ритм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надає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динамізму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і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породжує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рух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з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більш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складною характеристикою.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Він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допомагає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глядачу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зробити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акцент на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головних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моментах та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налаштовує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на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певний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лад,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підвищуючи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виразність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зображення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[11, с. 215].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Згодом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переконуєшся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що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основі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будь-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якої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творчості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лежить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що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все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починається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і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закінчується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нею,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що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ній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сфокусовані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всі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складові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ремесла. Вона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може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бути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елементарною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може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бути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вивірена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математичною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логікою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підпорядкованою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інтуїції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художника.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 За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твердженням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І.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Рєпіна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«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мистецтво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без науки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ще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не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мистецтво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». Не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знаючи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законів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зображення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художник буде не раз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заведеним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глухий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кут,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навіть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з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тією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ж натурою, </w:t>
      </w:r>
      <w:proofErr w:type="gram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 яку</w:t>
      </w:r>
      <w:proofErr w:type="gram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він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так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розраховує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Олександр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Іванов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ще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молоді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роки не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довіряючи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сліпому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чуттю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художника,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намагався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знайти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lastRenderedPageBreak/>
        <w:t>пояснення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і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відчував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полегшення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лише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тоді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коли на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практиці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і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теорії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знаходив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щось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що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впорядковує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його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спосіб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мислення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[12, с. 95].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Виконання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всіх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законів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і правил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ще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не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гарантує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художнику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отримання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прекрасної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картини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Тільки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творчий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підхід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до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вирішення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до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вибору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прийомів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і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засобів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винахід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їх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саме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для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цієї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картини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гарантують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успіх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Художник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має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право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обирати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з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величезного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арсеналу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виражальних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засобів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саме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які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забезпечать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успішне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художнє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перенесення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його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думок і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почуттів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на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площину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картини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[7, с. 55]. І в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цьому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йому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допоможе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розвинене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композиційне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мислення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яке є основою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мистецького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світогляду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center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proofErr w:type="spellStart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Література</w:t>
      </w:r>
      <w:proofErr w:type="spellEnd"/>
      <w:r w:rsidRPr="00F11C87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: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1. Сокольникова Н. М. Изобразительное искусство: Учебник для уч. 5–8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кл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.: В 4 ч. Ч. 3. Основы композиции – Обнинск: Титул, 1996. – 80 c.: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ил.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2. Шевелев И. Ш. Золотое сечение. Три взгляда на природу гармонии / И. Ш. Шевелев, М. А.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Марутаев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И. П. Шмелев – М.: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Стройиздат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, 1990. – 343 с.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3. Голубева О. Л. Основы композиции: Учеб. пособие. – 2-е изд. / О. Л. Голубева – М.: Изд. дом «Искусство», 2004. – 120 с: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4.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Паранюшкин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Р. В. П18 </w:t>
      </w:r>
      <w:proofErr w:type="gram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Композиция :</w:t>
      </w:r>
      <w:proofErr w:type="gram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теория и практика изобразительного искусства / Р. В.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Паранюшкин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– Изд. 2-е. – Ростов н/</w:t>
      </w:r>
      <w:proofErr w:type="gram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 :</w:t>
      </w:r>
      <w:proofErr w:type="gram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Феникс, 2005. – 79, [4] с. : ил. – (Школа изобразительных искусств), 81 с.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5. О композиции. Сборник статей / М. Г.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Манизер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 Б. В. Иогансон, Е. А.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Кибрик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[и др.</w:t>
      </w:r>
      <w:proofErr w:type="gram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] ;</w:t>
      </w:r>
      <w:proofErr w:type="gram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М.: Академия художеств СССР, 1959 – 152 с.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6. Дейнека А. А. Учитесь рисовать / А. А. Дейнека М.: Академия художеств СССР, 1961. – 239 с., ил., 170 с.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7. Ковалев В. В. Золотое сечение в живописи: Учеб. Пособие / В. В. Ковалев – К.: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Выща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шк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Головное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изда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-во, 1989. – 143 с., 90 ил., табл. –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Библиогр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.: 77 назв.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8. Шорохов, Е. В.. Основы композиции: [учеб. пособие для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пед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ин-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тов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по специальности № 2109 «Черчение, рисование и труд»] / Е. В. Шорохов. – </w:t>
      </w:r>
      <w:proofErr w:type="gram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Москва :</w:t>
      </w:r>
      <w:proofErr w:type="gram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Просвещение, 1979. – 301 c.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9. Бабенко А. В. Основы композиции в изобразительном искусстве: учебно-методическое пособие / Бабенко А. В.,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Хоружая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Н. В. – Томск: Томский государственный университет, 2011. – 116 с.,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10. Фрейд З. Художник и фантазирование: Пер. с нем. / З. Фрейд [под ред. Р.Ф.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Додельцева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, К.М. Долгова]. – М.: Республика, 1995. – 400 с.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11. Беда Г. В. Основы изобразительной грамоты Рисунок, живопись,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композиція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/ Г. В. Беда – 2-е изд.,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перераб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И доп.- М.: Просвещение, 1891. – 239 с.</w:t>
      </w:r>
    </w:p>
    <w:p w:rsidR="00F11C87" w:rsidRPr="00F11C87" w:rsidRDefault="00F11C87" w:rsidP="00F11C87">
      <w:pPr>
        <w:shd w:val="clear" w:color="auto" w:fill="FFFFFF"/>
        <w:spacing w:after="135" w:line="240" w:lineRule="auto"/>
        <w:ind w:left="135"/>
        <w:jc w:val="both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12. Алпатов М. В. Композиция в живописи / М. В. </w:t>
      </w:r>
      <w:proofErr w:type="spell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Алпадов</w:t>
      </w:r>
      <w:proofErr w:type="spell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– </w:t>
      </w:r>
      <w:proofErr w:type="gramStart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М. :</w:t>
      </w:r>
      <w:proofErr w:type="gramEnd"/>
      <w:r w:rsidRPr="00F11C87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Просвещение, 1940. – 245с.</w:t>
      </w:r>
    </w:p>
    <w:p w:rsidR="00A83AAA" w:rsidRDefault="00A83AAA"/>
    <w:sectPr w:rsidR="00A83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C87"/>
    <w:rsid w:val="00A83AAA"/>
    <w:rsid w:val="00EF6C55"/>
    <w:rsid w:val="00F1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3BBC3C-362D-4337-8D69-CDD1C6796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11C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11C8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F11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11C87"/>
    <w:rPr>
      <w:b/>
      <w:bCs/>
    </w:rPr>
  </w:style>
  <w:style w:type="character" w:styleId="a5">
    <w:name w:val="Emphasis"/>
    <w:basedOn w:val="a0"/>
    <w:uiPriority w:val="20"/>
    <w:qFormat/>
    <w:rsid w:val="00F11C8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F11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1C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25274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8874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8302</Words>
  <Characters>4733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Остап</cp:lastModifiedBy>
  <cp:revision>2</cp:revision>
  <dcterms:created xsi:type="dcterms:W3CDTF">2019-02-25T16:55:00Z</dcterms:created>
  <dcterms:modified xsi:type="dcterms:W3CDTF">2019-02-25T16:55:00Z</dcterms:modified>
</cp:coreProperties>
</file>