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1F" w:rsidRDefault="00317D1F" w:rsidP="00317D1F">
      <w:pPr>
        <w:shd w:val="clear" w:color="auto" w:fill="FFFFFF"/>
        <w:spacing w:before="240" w:after="240" w:line="240" w:lineRule="auto"/>
        <w:ind w:left="240" w:right="240"/>
        <w:jc w:val="center"/>
        <w:outlineLvl w:val="1"/>
        <w:rPr>
          <w:rFonts w:eastAsia="Times New Roman" w:cs="Times New Roman"/>
          <w:b/>
          <w:bCs/>
          <w:color w:val="000000"/>
          <w:sz w:val="31"/>
          <w:szCs w:val="31"/>
          <w:lang w:val="uk-UA" w:eastAsia="ru-RU"/>
        </w:rPr>
      </w:pPr>
      <w:r>
        <w:rPr>
          <w:rFonts w:eastAsia="Times New Roman" w:cs="Times New Roman"/>
          <w:b/>
          <w:bCs/>
          <w:color w:val="000000"/>
          <w:sz w:val="31"/>
          <w:szCs w:val="31"/>
          <w:lang w:val="uk-UA" w:eastAsia="ru-RU"/>
        </w:rPr>
        <w:t>Ягулов В.В.</w:t>
      </w:r>
    </w:p>
    <w:p w:rsidR="00317D1F" w:rsidRDefault="00317D1F" w:rsidP="00317D1F">
      <w:pPr>
        <w:shd w:val="clear" w:color="auto" w:fill="FFFFFF"/>
        <w:spacing w:before="240" w:after="240" w:line="240" w:lineRule="auto"/>
        <w:ind w:left="240" w:right="240"/>
        <w:jc w:val="center"/>
        <w:outlineLvl w:val="1"/>
        <w:rPr>
          <w:rFonts w:eastAsia="Times New Roman" w:cs="Times New Roman"/>
          <w:b/>
          <w:bCs/>
          <w:color w:val="000000"/>
          <w:sz w:val="31"/>
          <w:szCs w:val="31"/>
          <w:lang w:val="uk-UA" w:eastAsia="ru-RU"/>
        </w:rPr>
      </w:pPr>
      <w:r>
        <w:rPr>
          <w:rFonts w:eastAsia="Times New Roman" w:cs="Times New Roman"/>
          <w:b/>
          <w:bCs/>
          <w:color w:val="000000"/>
          <w:sz w:val="31"/>
          <w:szCs w:val="31"/>
          <w:lang w:val="uk-UA" w:eastAsia="ru-RU"/>
        </w:rPr>
        <w:t>Педагогіка</w:t>
      </w:r>
    </w:p>
    <w:p w:rsidR="00317D1F" w:rsidRPr="00317D1F" w:rsidRDefault="00317D1F" w:rsidP="00317D1F">
      <w:pPr>
        <w:shd w:val="clear" w:color="auto" w:fill="FFFFFF"/>
        <w:spacing w:before="240" w:after="240" w:line="240" w:lineRule="auto"/>
        <w:ind w:left="240" w:right="240"/>
        <w:jc w:val="center"/>
        <w:outlineLvl w:val="1"/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</w:pPr>
      <w:bookmarkStart w:id="0" w:name="_GoBack"/>
      <w:bookmarkEnd w:id="0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 xml:space="preserve">13.2. </w:t>
      </w:r>
      <w:proofErr w:type="spellStart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>Класифікація</w:t>
      </w:r>
      <w:proofErr w:type="spellEnd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 xml:space="preserve"> форм </w:t>
      </w:r>
      <w:proofErr w:type="spellStart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>організації</w:t>
      </w:r>
      <w:proofErr w:type="spellEnd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b/>
          <w:bCs/>
          <w:color w:val="000000"/>
          <w:sz w:val="31"/>
          <w:szCs w:val="31"/>
          <w:lang w:eastAsia="ru-RU"/>
        </w:rPr>
        <w:t>навчання</w:t>
      </w:r>
      <w:proofErr w:type="spellEnd"/>
    </w:p>
    <w:p w:rsidR="00317D1F" w:rsidRPr="00317D1F" w:rsidRDefault="00317D1F" w:rsidP="00317D1F">
      <w:pPr>
        <w:shd w:val="clear" w:color="auto" w:fill="FFFFFF"/>
        <w:spacing w:before="168" w:after="168" w:line="240" w:lineRule="auto"/>
        <w:ind w:left="168" w:right="168"/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</w:pP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сучасному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етапі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дидактичної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науки є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кілька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варіантів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класифікації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форм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Наприклад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, 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В. 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Оконь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поділяє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 три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: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робота </w:t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ід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час занять;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домашня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робота;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робота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після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занять.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Ч. 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Купісевич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класифікує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основі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критеріїв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: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кількості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групова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);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лекція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лабораторна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робота,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екскурсія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виробнича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домашня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робота,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промислових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ідприємствах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);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тривалістю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дидактичного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заходу (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лекційні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 поза-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лекційні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).</w:t>
      </w:r>
    </w:p>
    <w:p w:rsidR="00317D1F" w:rsidRPr="00317D1F" w:rsidRDefault="00317D1F" w:rsidP="00317D1F">
      <w:pPr>
        <w:shd w:val="clear" w:color="auto" w:fill="FFFFFF"/>
        <w:spacing w:before="168" w:after="168" w:line="240" w:lineRule="auto"/>
        <w:ind w:left="168" w:right="168"/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</w:pP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П. </w:t>
      </w:r>
      <w:proofErr w:type="spellStart"/>
      <w:proofErr w:type="gram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ідласий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пропонує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їхню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класифікацію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 такими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ознаками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: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за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кількістю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масові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колективні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мікрогрупові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місцем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шкільні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урок, робота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майстерні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пришкільній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дослідній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ділянці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лабораторії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позашкільні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екскурсія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домашня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самостійна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робота,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ідприємстві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дидактичною метою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теоретичного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лекція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факультатив,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гурток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конференція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комбінованого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змішаного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урок,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семінар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домашня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робота,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консультація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; практичного (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практикуми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) і трудового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робота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майстернях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спеціальних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класах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пришкільних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ділянках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;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тривалістю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класичний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урок (45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хв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.),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спарені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(90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хв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.),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спарені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скорочені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(70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хв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.), 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уроки «без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дзвінкі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».</w:t>
      </w:r>
    </w:p>
    <w:p w:rsidR="00317D1F" w:rsidRPr="00317D1F" w:rsidRDefault="00317D1F" w:rsidP="00317D1F">
      <w:pPr>
        <w:shd w:val="clear" w:color="auto" w:fill="FFFFFF"/>
        <w:spacing w:before="168" w:after="168" w:line="240" w:lineRule="auto"/>
        <w:ind w:left="168" w:right="168"/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</w:pP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кількістю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як правило,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виокремлюють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групову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proofErr w:type="spellStart"/>
      <w:r w:rsidRPr="00317D1F">
        <w:rPr>
          <w:rFonts w:ascii="Helvetica" w:eastAsia="Times New Roman" w:hAnsi="Helvetica" w:cs="Times New Roman"/>
          <w:b/>
          <w:bCs/>
          <w:i/>
          <w:iCs/>
          <w:color w:val="000000"/>
          <w:sz w:val="24"/>
          <w:szCs w:val="24"/>
          <w:lang w:eastAsia="ru-RU"/>
        </w:rPr>
        <w:t>Індивідуальна</w:t>
      </w:r>
      <w:proofErr w:type="spellEnd"/>
      <w:r w:rsidRPr="00317D1F">
        <w:rPr>
          <w:rFonts w:ascii="Helvetica" w:eastAsia="Times New Roman" w:hAnsi="Helvetica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форма </w:t>
      </w:r>
      <w:proofErr w:type="spellStart"/>
      <w:r w:rsidRPr="00317D1F">
        <w:rPr>
          <w:rFonts w:ascii="Helvetica" w:eastAsia="Times New Roman" w:hAnsi="Helvetica" w:cs="Times New Roman"/>
          <w:b/>
          <w:bCs/>
          <w:i/>
          <w:iCs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найстаріша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історії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педагогіки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давнину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вона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полягала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певних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дидактичних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безпосередньої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чи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посередньої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вчителя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надавало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індивідуалізувати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змі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так і темп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своєю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чергою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сприяло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постійному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й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водночас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докладному контролю за ходом і результатами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пізнавальної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Педагог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міг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контролювати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власні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вносити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певні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корективи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пристосовуючися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обставин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давнину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і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сучасному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етапі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високий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ефект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тому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учень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набуває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певних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практичних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навичок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вмінь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оптимальний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для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себе час,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свої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психічні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особливості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матеріалу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Доконечною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умовою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результатів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висока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педагогічна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майстерність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учителів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сучасній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дидактиці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вживають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поняття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«індивідуалізація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», «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індивідуальний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ідхід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».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 xml:space="preserve">П. І. 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Сікорський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вважа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,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підходу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необхідно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використовувати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думку,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спрямована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врахування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специфічних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особливостей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кожного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всередині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класу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передбачає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врахування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й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подібних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типових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lastRenderedPageBreak/>
        <w:t>особливостей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Порівнюючи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дефініції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понять 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індивідуалізація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»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 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диференціація</w:t>
      </w:r>
      <w:proofErr w:type="spellEnd"/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»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 </w:t>
      </w:r>
      <w:r w:rsidRPr="00317D1F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ru-RU"/>
        </w:rPr>
        <w:t>І. Унтом, 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можна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зазначити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спільні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риси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обидва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є формою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принципу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раціонального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поєднання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колективних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форм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способів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навчальної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враховують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індивідуально-психічні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особливості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структуруються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  <w:t xml:space="preserve">Основною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відмінністю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між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ними є те,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що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тільки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враховує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індивідуально-психічні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особливості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а й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передбачає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типологічних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ізними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навчальними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планами й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програмами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Щоб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остаточно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розвести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» і «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» П. І.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Сікорський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вводить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поняття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індивідуально-групового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» і «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індивідуалізованого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їхні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відмінні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риси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по-перше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індивідуалізоване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реалізується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індивідуальними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формами, 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диференційоване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груповими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по-друге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диференційоване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широким і </w:t>
      </w:r>
      <w:proofErr w:type="spellStart"/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част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іше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вживаним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поняттям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передбачає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типологічне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групування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по-трет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,</w:t>
      </w:r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засобами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диференційованого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досягаються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кращі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особистості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Індивідуально-групове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передбачає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процесу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коли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кожний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виконує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індивідуально-однакові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всіх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завдання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складі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індивідуалізоване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таку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засвоєння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умінь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навичок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яка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дає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змогу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кожному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суб'єктові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учіння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навчатися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індивідуальним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планом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програмами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адаптованими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нього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індивідуальному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темпі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. </w:t>
      </w:r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br/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Змі</w:t>
      </w:r>
      <w:proofErr w:type="gram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організація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дидактичного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процесу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національній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системі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основною формою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передбачають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передусім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колективну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роботу, головне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місце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якій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посідає</w:t>
      </w:r>
      <w:proofErr w:type="spellEnd"/>
      <w:r w:rsidRPr="00317D1F"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  <w:t> </w:t>
      </w:r>
      <w:proofErr w:type="spellStart"/>
      <w:r w:rsidRPr="00317D1F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ru-RU"/>
        </w:rPr>
        <w:t>класно-урочна</w:t>
      </w:r>
      <w:proofErr w:type="spellEnd"/>
      <w:r w:rsidRPr="00317D1F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ru-RU"/>
        </w:rPr>
        <w:t xml:space="preserve"> систем</w:t>
      </w:r>
    </w:p>
    <w:p w:rsidR="00F76904" w:rsidRDefault="00F76904"/>
    <w:sectPr w:rsidR="00F7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16"/>
    <w:rsid w:val="00317D1F"/>
    <w:rsid w:val="006F58CB"/>
    <w:rsid w:val="00A32DD5"/>
    <w:rsid w:val="00DF7F16"/>
    <w:rsid w:val="00F7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D1F"/>
  </w:style>
  <w:style w:type="character" w:styleId="a4">
    <w:name w:val="Emphasis"/>
    <w:basedOn w:val="a0"/>
    <w:uiPriority w:val="20"/>
    <w:qFormat/>
    <w:rsid w:val="00317D1F"/>
    <w:rPr>
      <w:i/>
      <w:iCs/>
    </w:rPr>
  </w:style>
  <w:style w:type="character" w:styleId="a5">
    <w:name w:val="Strong"/>
    <w:basedOn w:val="a0"/>
    <w:uiPriority w:val="22"/>
    <w:qFormat/>
    <w:rsid w:val="00317D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D1F"/>
  </w:style>
  <w:style w:type="character" w:styleId="a4">
    <w:name w:val="Emphasis"/>
    <w:basedOn w:val="a0"/>
    <w:uiPriority w:val="20"/>
    <w:qFormat/>
    <w:rsid w:val="00317D1F"/>
    <w:rPr>
      <w:i/>
      <w:iCs/>
    </w:rPr>
  </w:style>
  <w:style w:type="character" w:styleId="a5">
    <w:name w:val="Strong"/>
    <w:basedOn w:val="a0"/>
    <w:uiPriority w:val="22"/>
    <w:qFormat/>
    <w:rsid w:val="00317D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2017-11-11T18:49:00Z</cp:lastPrinted>
  <dcterms:created xsi:type="dcterms:W3CDTF">2017-11-11T18:47:00Z</dcterms:created>
  <dcterms:modified xsi:type="dcterms:W3CDTF">2017-11-11T18:53:00Z</dcterms:modified>
</cp:coreProperties>
</file>