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Мацкевич Н.М., Ковальчук Н.М., Овчаренко Т.Г.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Педагогiка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психологiя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та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медико-бiологiчнi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проблеми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фiзичного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виховання i спорту. - 2009. - №9. - С.92-94.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</w:pPr>
      <w:r w:rsidRPr="00295292"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Структура управління в галузі туризму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Анотація.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Розроблено структуру управління в галузі туризму в Україні як однієї з найважливіших в оздоровленні населення; подано її обґрунтування. Визначено систему органів державного управління в галузі туризму через гілки законодавчої (Верховна Рада) та виконавчої влади (міністерства, управління обласних державних адміністрацій); висвітлено їх завдання та повноваження. В роботі подано структуру і зміст діяльності органів місцевого самоврядування (ради народних депутатів різних рівнів), а також громадських організацій (національна та обласні федерації спортивного туризму, спортивні клуби) в туристичній галузі.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Ключові слова: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туризм, управління, державні органи, громадські органи.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Вступ.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Розвиток демократичної державності та становлення громадського суспільства обумовлює управління в будь-якій галузі на рівні державної влади в поєднанні з запровадженням основних засад громадського суспільства, що проявляється у діяльності громадських самодіяльних організацій, місцевого самоврядування. Це обумовлює значущість вивчення структури управління туризмом, як однієї з найважливіших галузей оздоровлення [1,2,6,7].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Система управління туризмом в Україні включає державні та громадські організації. Державна влада розподіляється на законодавчу, виконавчу і судову. Отже, державна політика в галузі туризму визначається через гілки законодавчої влади (Парламент) та виконавчої (Уряд) [3,4]. Громадські організації в управлінні туризмом представлені спортивними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федраціями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(національною та обласними) та туристичними клубами.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Робота виконана за планом НДР Волинського національного університету імені Лесі Українки.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Мета, завдання роботи, матеріал і методи.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Метою роботи є розробка та обґрунтування структури управління в галузі туризму та висвітлення завдань і функцій органів управління.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Результати дослідження.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Виходячи з розподілу державної влади в Україні розглянемо органи управління туризмом в кожній з гілок влади (рис.1).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>
        <w:rPr>
          <w:rFonts w:ascii="Arial" w:eastAsia="Times New Roman" w:hAnsi="Arial" w:cs="Arial"/>
          <w:noProof/>
          <w:color w:val="800000"/>
          <w:sz w:val="20"/>
          <w:szCs w:val="20"/>
          <w:lang w:eastAsia="uk-UA"/>
        </w:rPr>
        <w:lastRenderedPageBreak/>
        <w:drawing>
          <wp:inline distT="0" distB="0" distL="0" distR="0">
            <wp:extent cx="5715000" cy="5334000"/>
            <wp:effectExtent l="19050" t="0" r="0" b="0"/>
            <wp:docPr id="1" name="Рисунок 1" descr="Структура управління в галузі туризм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управління в галузі туризму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33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Рис. 1. Структура управління в галузі туризму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Державні організації в системі управління туризмом в Україні представлені органами законодавчої та виконавчої влади.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 повноважень Верховної Ради в галузі туризму належать (згідно Закону України «Про туризм»): визначення основних напрямів державної політики в галузі туризму; правових засад регулювання відносин у галузі туризму; обсягу фінансового забезпечення туристичної галузі в законі про Державний бюджет України.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Управління туризмом в системі виконавчої влади здійснюється Міністерством культури і туризму, Міністерством освіти і науки, Міністерством у справах сім'ї, молоді та спорту.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Одним з центральних органів державної виконавчої влади в галузі туризму є Міністерство культури і туризму України. Воно в установленому порядку вносить пропозиції щодо формування державної політики у туристичній та курортній галузях, забезпечує її реалізацію, здійснює управління в цих галузях, а також міжгалузеву координацію. Основними завданнями міністерства є: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участь у формуванні та забезпеченні реалізації державної політики у туристичній та курортній галузях;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розроблення та реалізація загальнодержавних програм розвитку курортів та туристично-рекреаційної сфери, ринку туристичних послуг, забезпечення захисту і безпеки туристів;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визначення перспектив і напрямів розвитку внутрішнього, міжнародного та іноземного туризму, розбудови матеріально-технічної бази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міжгалузева координація та функціональне регулювання з питань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та розвиток системи наукового, інформаційно-рекламного забезпечення туристично-рекреаційної та курортної сфери.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Центральним органом державної виконавчої влади в компетенції якого також питання галузі туризму є Міністерство освіти і науки. В його складі функціонує департамент розвитку дошкільної, загальної середньої та позашкільної освіти, який розробляє та реалізує освітні та оздоровчі програми.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Безпосередньо реалізація державної політики в галузі освіти засобами туризму, краєзнавства здійснюється Українським державним центром туризму і краєзнавства учнівської молоді Міністерства освіти і науки України.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Центр здійснює інструктивно-методичну, організаційно-масову, навчально-виховну роботу, краєзнавчу та екскурсійну діяльність, спрямовану на подальший розвиток туристсько-краєзнавчої та оздоровчої роботи з учнівською молоддю України.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Центр: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організовує туристські і краєзнавчі змагання, зльоти, конкурси, експедиції, навчально-тренувальні табірні збори, походи, </w:t>
      </w:r>
      <w:hyperlink r:id="rId5" w:history="1">
        <w:r w:rsidRPr="00295292">
          <w:rPr>
            <w:rFonts w:ascii="Arial" w:eastAsia="Times New Roman" w:hAnsi="Arial" w:cs="Arial"/>
            <w:color w:val="0000FF"/>
            <w:sz w:val="20"/>
            <w:u w:val="single"/>
            <w:lang w:eastAsia="uk-UA"/>
          </w:rPr>
          <w:t>екскурсії</w:t>
        </w:r>
      </w:hyperlink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розповсюджує методичні, інформаційні матеріали, навчальні програми дитячих туристсько-краєзнавчих об'єднань;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організовує роботу гуртків з різних видів спортивного туризму (пішохідного, водного, лижного,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спелео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велосипедного, гірського) і краєзнавчих досліджень (народознавчих, історичних, географічних, екологічних, фольклорно-етнографічних).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 Україні крім Державного функціонують обласні центри туризму і краєзнавства учнівської молоді, а також міські та районні станції юних туристів. Вони організовують роботу гуртків зі спортивних видів туризму, пізнавальну роботу, проводять навчально-тренувальну роботу, збори, походи, змагання. Такий центр функціонує в м. Луцьку.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Міністерство з питань сім’ї, молоді та спорту є центральним органом державної виконавчої влади, який забезпечує реалізацію державної політики у сфері фізичної культури і спорту [8]. Він вносить пропозиції щодо програм розвитку спортивного туризму.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Завданнями Міністерства з питань сім’ї, молоді та спорту є: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затвердження календарних планів змагань, навчально-тренувальних зборів зі спортивного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фізкультурно-оздоровчих і спортивних заходів;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роботи з фізичного виховання і провадження фізкультурно-оздоровчої діяльності у навчально-виховній сфері;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порушення клопотань нагородження спортсменів, тренерів державними нагородами;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присвоєння спортивних звань;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комплектація збірних команд України, підготовка та участь спортсменів у змаганнях.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 областях основні функції в галузі фізичної культури і спорту здійснюють відповідні підрозділи обласних державних адміністрацій. Таким підрозділом є Управління з питань сім’ї, молоді та спорту обласної державної адміністрації, основними завданнями якого є відповідно: затвердження календарних планів обласних змагань та навчально-тренувальних зборів; підготовка, комплектація збірних команд області; організація в області фізкультурно-оздоровчих та спортивних заходів; присвоєння спортивних звань (КМС, І розряд).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Аналогічні підрозділи з питань фізичної культури і спорту функціонують в районних і міських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ор-ганізаціях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Отже, питання підготовки спортсменів, організації змагань, навчально-тренувальних зборів, присвоєння спортивних звань в спортивних видах туризму вирішуються Міністерством з питань сім’ї, молоді та спорту України та відповідними підрозділами в областях, районах, містах.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Управління туризмом на місцях здійснюють органи місцевого самоврядування: Верховна Рада АР Крим та обласні і районні ради. В їх складі діє постійна комісія ради з питань соціального захисту населення, трудових ресурсів, сім'ї, молоді, спорту та туризму. Така комісія: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розробляє та вносить пропозиції, що затверджуються радою, яка схвалює регіональні програми розвитку туризму, що фінансуються з бюджету АР Крим, обласних і районних бюджетів;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визначає кошти бюджету АР Крим, обласних і районних бюджетів для фінансового забезпечення регіональних програм розвитку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контролює фінансування регіональних програм розвитку туризму за кошти бюджету АР Крим, обласних і районних бюджетів.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Місцеві програми розвитку туризму затверджують сільські, селищні, міські ради. Пропозиції попередньо розглядаються і вносяться на затвердження депутатською комісією.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 управлінні туризмом беруть участь також громадські організації. Громадяни України, іноземці, особи без громадянства з метою реалізації та захисту прав і законних інтересів можуть об'єднуватись в громадські організації туристичної спрямованості (ст. 28 </w:t>
      </w:r>
      <w:hyperlink r:id="rId6" w:history="1">
        <w:r w:rsidRPr="00295292">
          <w:rPr>
            <w:rFonts w:ascii="Arial" w:eastAsia="Times New Roman" w:hAnsi="Arial" w:cs="Arial"/>
            <w:color w:val="0000FF"/>
            <w:sz w:val="20"/>
            <w:u w:val="single"/>
            <w:lang w:eastAsia="uk-UA"/>
          </w:rPr>
          <w:t>Закону України «Про туризм»</w:t>
        </w:r>
      </w:hyperlink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) [2]. Однією з ведучих є Федерація спортивного туризму України, яка своєю метою ставить сприяння створенню головних засад національної моделі спортивного туризму як масового самодіяльного спорту та спорту вищих досягнень. З 2002 року рішенням колегії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Держкомспорту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Федерації надано статус національної спортивної федерації. Основними напрямами діяльності Федерації є: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та проведення спортивних туристських заходів: всеукраїнських та регіональних змагань з техніки спортивного туризму та спортивних туристських походів і експедицій;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вивчення та пропаганда спортивних туристських ресурсів території України, розробка та апробація кваліфікованих туристсько-спортивних маршрутів;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сприяння організації навчально-методичної роботи з підготовки та підвищення кваліфікації кадрів спортивного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сприяння інформаційному, нормативному, методичному забезпеченню розвитку спортивного туризму в Україні;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розвиток структури Федерації.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Федерація спрямовує зусилля на розвиток пішохідного, гірського, велосипедного, водного, лижного, вітрильного, спелеологічного, автомобільного та мотоциклетного видів спортивного туризму.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Федерація є дійсним членом Міжнародного туристсько-спортивного союзу та Міжнародної федерації спортивного туризму. Осередки та організації Федерації діють в </w:t>
      </w:r>
      <w:hyperlink r:id="rId7" w:history="1">
        <w:r w:rsidRPr="00295292">
          <w:rPr>
            <w:rFonts w:ascii="Arial" w:eastAsia="Times New Roman" w:hAnsi="Arial" w:cs="Arial"/>
            <w:color w:val="0000FF"/>
            <w:sz w:val="20"/>
            <w:u w:val="single"/>
            <w:lang w:eastAsia="uk-UA"/>
          </w:rPr>
          <w:t>АР Крим</w:t>
        </w:r>
      </w:hyperlink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областях України (наприклад Волинська обласна федерація спортивного туризму).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З метою сприяння розвитку спортивного туризму у відповідних адміністративно-територіальних одиницях, регіонах України створюються територіальні спортивні туристські клуби, які є добровільними громадськими об'єднаннями, що створюються на засадах єдності інтересів громадян - прихильників спортивного туризму. Клуб є юридичною особою і діє на підставі власного статуту, він є неприбутковою організацією. Клуб може на добровільних засадах входити до складу інших громадських організацій, бути членом відповідної федерації, брати участь у заснуванні спілок, союзів.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Основними завданнями таких клубів є: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здійснення заходів з масового залучення до активних занять спортивним туризмом різних соціальних та вікових груп населення;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засобами спортивного туризму активного дозвілля;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сприяння створенню в місцевих установах, організаціях секцій спортивного туризму;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та проведення туристських походів, експедицій, подорожей з різних видів спортивного туризму, комбінованих за видами туризму подорожей;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роботи туристсько-спортивних, оздоровчих таборів та баз;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проведення спортивних туристських змагань, зльотів;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здійснення навчально-тренувальної роботи зі спортивного туризму.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Членами клубу можуть бути як окремі громадяни, так і колективи підприємств.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Висновки: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1. Структура управління в галузі туризму включає державні організації законодавчої (комітет молодіжної політики, фізичної культури, спорту і туризму Верховної Ради) та виконавчої (Міністерство освіти і науки, Міністерство сім’ї, молоді та спорту, Міністерство культури і туризму, відповідні підрозділи обласних, районних державних адміністрацій) гілок влади, а також органи місцевого самоврядування (комісії рад народних депутатів) і громадські організації (федерації спортивного туризму).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2. Основними функціями державних органів управління в галузі туризму є визначення правових засад, фінансового забезпечення, планування, міжгалузева координація, реалізація оздоровчих програм засобами туризму. Громадські організації проводять навчально-тренувальну роботу, спортивні та оздоровчі заходи.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Перспективи подальших досліджень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вбачаємо в аналізі особового складника системи управління туризмом.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800000"/>
          <w:sz w:val="26"/>
          <w:szCs w:val="26"/>
          <w:lang w:eastAsia="uk-UA"/>
        </w:rPr>
      </w:pPr>
      <w:r w:rsidRPr="00295292">
        <w:rPr>
          <w:rFonts w:ascii="Arial" w:eastAsia="Times New Roman" w:hAnsi="Arial" w:cs="Arial"/>
          <w:b/>
          <w:bCs/>
          <w:color w:val="800000"/>
          <w:sz w:val="26"/>
          <w:szCs w:val="26"/>
          <w:lang w:eastAsia="uk-UA"/>
        </w:rPr>
        <w:t>Література</w:t>
      </w:r>
    </w:p>
    <w:p w:rsidR="00295292" w:rsidRPr="00295292" w:rsidRDefault="00295292" w:rsidP="00295292">
      <w:pPr>
        <w:shd w:val="clear" w:color="auto" w:fill="FCF0E4"/>
        <w:spacing w:before="100" w:beforeAutospacing="1" w:after="100" w:afterAutospacing="1" w:line="240" w:lineRule="auto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1.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Калитюк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В.А. Рекреаційно-туристичний комплекс в умовах ринку. – Львів, 1999. – 162 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2. 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begin"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instrText xml:space="preserve"> HYPERLINK "http://tourlib.net/books_ukr/kyfjak.htm" </w:instrTex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separate"/>
      </w:r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Кифяк</w:t>
      </w:r>
      <w:proofErr w:type="spellEnd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 xml:space="preserve"> В.Ф. Організація туристичної діяльності в Україні. – Чернівці: Книги – ХХІ, 2003. – 300 с.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end"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3. Мельник А.Ф., Оболенський О.Ю.,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Васіна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А.Ю., Гордієнко Л.Ю. Державне управління / навчальний посібник. – К.: «Знання», 2004. – 342с.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4. Нормативно-правові акти України з питань туризму: Збірник законодавчих та нормативних актів (станом на 1 червня 2004 року) /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Упоряд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. М.І.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Камлик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. – К.: Атака, 2004. – 464с.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5. Павлов В.І., Черчик Л.М. Рекреаційний комплекс Волині: теорія, практика, перспективи. – Луцьк, 1998. – 124 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6. 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begin"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instrText xml:space="preserve"> HYPERLINK "http://tourlib.net/books_ukr/pankova.htm" </w:instrTex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separate"/>
      </w:r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Панкова</w:t>
      </w:r>
      <w:proofErr w:type="spellEnd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 xml:space="preserve"> Є.В. Туристичне краєзнавство: </w:t>
      </w:r>
      <w:proofErr w:type="spellStart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Навч</w:t>
      </w:r>
      <w:proofErr w:type="spellEnd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 xml:space="preserve">. Посібник. – К.: </w:t>
      </w:r>
      <w:proofErr w:type="spellStart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Альтерпрес</w:t>
      </w:r>
      <w:proofErr w:type="spellEnd"/>
      <w:r w:rsidRPr="00295292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, 2003. – 352 с.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end"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7.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Рутинский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М.Й. Організація спортивно-оздоровчого туризму: Навчально-методичні матеріали – Львів: КВКПП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„Фенит”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2002. – 159 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8. Туризм в Україні. Статистичний бюлетень. – К.: Державний комітет молодіжної політики, спорту і туризму України, 2000. – 30 с.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Аннотация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. Мацкевич Н.М., Ковальчук Н.М., Овчаренко Т.Г. Структура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управления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туристической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отрасли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Разработано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структуру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управления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туризмом в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Украине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как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одной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из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важнейших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в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оздоровлении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населения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; дано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ее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обоснование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.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Определено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систему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органов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государственного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управления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в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отрасли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туризма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через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ветви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законодательной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Верховный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Совет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 и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исполнительной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власти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министерства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управления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областных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государственных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администраций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);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освещено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их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задачи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и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полномочия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. В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работе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отражена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структура и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содержание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деятельности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органов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местного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самоуправления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советы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народных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депутатов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разных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уровней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), а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также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общественных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организаций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на-циональная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и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областные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федерации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спортивного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туризма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спортивные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клубы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 в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туристической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отрасли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Ключевые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 xml:space="preserve"> слова: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 туризм,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управление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государственные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органы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общественные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органы</w:t>
      </w:r>
      <w:proofErr w:type="spellEnd"/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.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Annotation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.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Matskevych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N.,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Kovalchuk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N.,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Ovcharenko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T.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Scheme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management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tourism</w:t>
      </w:r>
      <w:proofErr w:type="spellEnd"/>
      <w:r w:rsidRPr="00295292">
        <w:rPr>
          <w:rFonts w:ascii="Arial" w:eastAsia="Times New Roman" w:hAnsi="Arial" w:cs="Arial"/>
          <w:b/>
          <w:bCs/>
          <w:color w:val="800000"/>
          <w:sz w:val="20"/>
          <w:lang w:eastAsia="uk-UA"/>
        </w:rPr>
        <w:t>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Demonstrates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management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scheme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tourism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activities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in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Ukraine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which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are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special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importance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for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purposes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health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improvement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population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;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provides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for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respective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argumentation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thereto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.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article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defi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nes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system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state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authorities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in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sphere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tourism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including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legislative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Supreme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Council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and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executive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ministries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regional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executive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departments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bodies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;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elucidates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their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objectives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and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authorities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.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paper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presents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structure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and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substance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functioning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local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authorities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deputy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councils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various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levels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well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public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organizations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(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national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and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regional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federations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sport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tourism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,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sport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clubs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)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in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tourism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sphere</w:t>
      </w:r>
      <w:proofErr w:type="spellEnd"/>
      <w:r w:rsidRPr="00295292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.</w:t>
      </w:r>
      <w:r w:rsidRPr="00295292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</w:p>
    <w:p w:rsidR="00C25530" w:rsidRDefault="00C25530"/>
    <w:sectPr w:rsidR="00C25530" w:rsidSect="00C25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95292"/>
    <w:rsid w:val="00295292"/>
    <w:rsid w:val="00C2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30"/>
  </w:style>
  <w:style w:type="paragraph" w:styleId="1">
    <w:name w:val="heading 1"/>
    <w:basedOn w:val="a"/>
    <w:link w:val="10"/>
    <w:uiPriority w:val="9"/>
    <w:qFormat/>
    <w:rsid w:val="00295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2952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529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9529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29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295292"/>
    <w:rPr>
      <w:color w:val="0000FF"/>
      <w:u w:val="single"/>
    </w:rPr>
  </w:style>
  <w:style w:type="character" w:styleId="a5">
    <w:name w:val="Strong"/>
    <w:basedOn w:val="a0"/>
    <w:uiPriority w:val="22"/>
    <w:qFormat/>
    <w:rsid w:val="002952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ourlib.net/krym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urlib.net/zakon/pro_turyzm.htm" TargetMode="External"/><Relationship Id="rId5" Type="http://schemas.openxmlformats.org/officeDocument/2006/relationships/hyperlink" Target="http://tourlib.net/ekskurs.ht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9307</Words>
  <Characters>5305</Characters>
  <Application>Microsoft Office Word</Application>
  <DocSecurity>0</DocSecurity>
  <Lines>44</Lines>
  <Paragraphs>29</Paragraphs>
  <ScaleCrop>false</ScaleCrop>
  <Company>Krokoz™</Company>
  <LinksUpToDate>false</LinksUpToDate>
  <CharactersWithSpaces>14583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2019-06-20T19:34:00Z</dcterms:created>
  <dcterms:modified xsi:type="dcterms:W3CDTF">2019-06-20T19:34:00Z</dcterms:modified>
</cp:coreProperties>
</file>