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1D231750" w:rsidR="009F74E9" w:rsidRPr="003C1837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E41B50" w:rsidRPr="00E41B50">
        <w:rPr>
          <w:b/>
          <w:sz w:val="28"/>
          <w:szCs w:val="28"/>
          <w:shd w:val="clear" w:color="auto" w:fill="FFFFFF"/>
        </w:rPr>
        <w:t>Бухгалтерський облік і фінансова звітність за міжнародними стандартами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BAFB55" w14:textId="77777777" w:rsidR="000C62A7" w:rsidRPr="00C43961" w:rsidRDefault="000C62A7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Бєлокоз О.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Відмінності між вітчизняними та міжнародними підходами до оцінки дебіторської заборгованості торговельних підприємств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7A17D3">
        <w:rPr>
          <w:sz w:val="28"/>
          <w:szCs w:val="28"/>
        </w:rPr>
        <w:t>http://elartu.tntu.edu.ua/bitstream/123456789/818/2/GEB_2010_v28_No3-O_Byelokoz-Differences_between_domestic_and_international__197.pdf</w:t>
      </w:r>
      <w:r w:rsidRPr="00C43961">
        <w:rPr>
          <w:b/>
          <w:sz w:val="28"/>
          <w:szCs w:val="28"/>
        </w:rPr>
        <w:t>. (ЕЛ)</w:t>
      </w:r>
    </w:p>
    <w:p w14:paraId="3A48D920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006B4">
        <w:rPr>
          <w:sz w:val="28"/>
          <w:szCs w:val="28"/>
        </w:rPr>
        <w:t xml:space="preserve">Бурак І. О. Проблема тлумачення та визнання поняття розрахунки </w:t>
      </w:r>
      <w:r w:rsidRPr="008B0D6E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http://www.irbis-nbuv.gov.ua/cgi-bin/irbis_nbuv/cgiirbis_64.exe?C21COM=2&amp;I21DBN=UJRN&amp;P21DBN=UJRN&amp;IMAGE_FILE_DOWNLOAD=1&amp;Image_file_name=PDF/ecnof_2010_7(1)__26.pdf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17BE7406" w14:textId="77777777" w:rsidR="000C62A7" w:rsidRPr="000756EE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>Козловський Р. Світові тенденції акумуляції та використання міжнародних золотовалютних резервів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560EA8">
        <w:rPr>
          <w:sz w:val="28"/>
          <w:szCs w:val="28"/>
        </w:rPr>
        <w:t>http://elartu.tntu.edu.ua/bitstream/123456789/711/2/GEB_2010_v27_No2-R_Kozlovsky-Global_trends_of_accumulation_and_use__11.pdf</w:t>
      </w:r>
      <w:r w:rsidRPr="000756EE">
        <w:rPr>
          <w:sz w:val="28"/>
          <w:szCs w:val="28"/>
        </w:rPr>
        <w:t>. (ЕЛ)</w:t>
      </w:r>
    </w:p>
    <w:p w14:paraId="0075C407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7A17D3">
        <w:rPr>
          <w:sz w:val="28"/>
          <w:szCs w:val="28"/>
        </w:rPr>
        <w:t>Кравчук</w:t>
      </w:r>
      <w:r w:rsidRPr="000C62A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В.</w:t>
      </w:r>
      <w:r w:rsidRPr="007A17D3">
        <w:rPr>
          <w:sz w:val="28"/>
          <w:szCs w:val="28"/>
        </w:rPr>
        <w:t>, Прем'єрова</w:t>
      </w:r>
      <w:r>
        <w:rPr>
          <w:sz w:val="28"/>
          <w:szCs w:val="28"/>
        </w:rPr>
        <w:t xml:space="preserve"> О:</w:t>
      </w:r>
      <w:r w:rsidRPr="00205C03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Ринок карткових платежів України: Міжнародний досвід та національне регулювання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7A17D3">
        <w:rPr>
          <w:sz w:val="28"/>
          <w:szCs w:val="28"/>
        </w:rPr>
        <w:t>http://www.ier.com.ua/files/publications/Books/2012/1_cards_payments/IER_ukr.pdf</w:t>
      </w:r>
      <w:r w:rsidRPr="00C43961">
        <w:rPr>
          <w:b/>
          <w:sz w:val="28"/>
          <w:szCs w:val="28"/>
        </w:rPr>
        <w:t xml:space="preserve"> (ЕЛ)</w:t>
      </w:r>
    </w:p>
    <w:p w14:paraId="40EDFCB6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 xml:space="preserve">Мельник Н. Г. Історичні та міжнародні аспекти обліку іноземної валюти 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lastRenderedPageBreak/>
        <w:t>http://dspace.tneu.edu.ua/jspui/bitstream/316497/15720/1/Облік%20іноземної%20валюти.pdf</w:t>
      </w:r>
      <w:r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504A67E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74"/>
        <w:jc w:val="both"/>
        <w:rPr>
          <w:sz w:val="28"/>
          <w:szCs w:val="28"/>
        </w:rPr>
      </w:pPr>
      <w:r w:rsidRPr="009006B4">
        <w:rPr>
          <w:sz w:val="28"/>
          <w:szCs w:val="28"/>
        </w:rPr>
        <w:t>Овсюк Н. В. Бухгалтерський облік розрахунків з оплати праці в контексті застосування вимог міжнародних стандартів фінансової звітності [Електронний ресурс]. – Режим доступу : http://nbuv.gov.ua/UJRN/Fkd_2014_1_21.</w:t>
      </w:r>
      <w:r w:rsidRPr="009006B4">
        <w:rPr>
          <w:b/>
          <w:sz w:val="28"/>
          <w:szCs w:val="28"/>
        </w:rPr>
        <w:t xml:space="preserve"> (ЕЛ)</w:t>
      </w:r>
    </w:p>
    <w:p w14:paraId="1E73DC95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 xml:space="preserve">Сковрунська Т. В., Тивончук С. В. Гармонізація національної системи розрахунків з оплати праці за міжнародними стандартами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</w:t>
      </w:r>
      <w:r w:rsidRPr="00560EA8">
        <w:t xml:space="preserve"> http://www.irbis-nbuv.gov.ua/cgi-bin/irbis_nbuv/cgiirbis_64.exe?C21COM=2&amp;I21DBN=UJRN&amp;P21DBN=UJRN&amp;IMAGE_FILE_DOWNLOAD=1&amp;Image_file_name=PDF/ecnof_2013_10(4)__37.pdf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DE20B6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Сопко</w:t>
      </w:r>
      <w:r w:rsidRPr="008B0D6E">
        <w:rPr>
          <w:sz w:val="28"/>
          <w:szCs w:val="28"/>
        </w:rPr>
        <w:t xml:space="preserve"> В. </w:t>
      </w:r>
      <w:r w:rsidRPr="007A17D3">
        <w:rPr>
          <w:sz w:val="28"/>
          <w:szCs w:val="28"/>
        </w:rPr>
        <w:t>Трансфертне ціноутворення в міжнародних розрахунках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http://zt.knteu.kiev.ua/files/2016/4(87)/9.pdf</w:t>
      </w:r>
      <w:r w:rsidRPr="00C43961">
        <w:rPr>
          <w:b/>
          <w:sz w:val="28"/>
          <w:szCs w:val="28"/>
        </w:rPr>
        <w:t>. (ЕЛ)</w:t>
      </w:r>
    </w:p>
    <w:p w14:paraId="43DD69DB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>Черемісова Т.А.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Міжнародні фінансові відносини та валютний ринок в умовах глобалізації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http://dspace.oneu.edu.ua/jspui/bitstream/123456789/3212/1/Міжнародні%20фінансові%20відносини%20та%20валютний%20ринок%20в%20умовах%20глобалізації.pdf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032C9C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Юрій С.І. </w:t>
      </w:r>
      <w:r w:rsidRPr="007A17D3">
        <w:rPr>
          <w:sz w:val="28"/>
          <w:szCs w:val="28"/>
        </w:rPr>
        <w:t xml:space="preserve">Міжнародні фінанси у ХХI столітті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http://dspace.tneu.edu.ua/bitstream/316497/2100/1/Міжнародні%20фінанси%20у%20ХХІ%20столітті.PDF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0C62A7"/>
    <w:rsid w:val="001A2AC6"/>
    <w:rsid w:val="00205C03"/>
    <w:rsid w:val="00283BA0"/>
    <w:rsid w:val="003C1837"/>
    <w:rsid w:val="00407137"/>
    <w:rsid w:val="00515E84"/>
    <w:rsid w:val="00560EA8"/>
    <w:rsid w:val="005A1F38"/>
    <w:rsid w:val="005F05E2"/>
    <w:rsid w:val="00685D91"/>
    <w:rsid w:val="00690C32"/>
    <w:rsid w:val="007302F7"/>
    <w:rsid w:val="007A17D3"/>
    <w:rsid w:val="007E40F6"/>
    <w:rsid w:val="00887383"/>
    <w:rsid w:val="008B0D6E"/>
    <w:rsid w:val="009006B4"/>
    <w:rsid w:val="009F74E9"/>
    <w:rsid w:val="00B9689B"/>
    <w:rsid w:val="00C43961"/>
    <w:rsid w:val="00C45C78"/>
    <w:rsid w:val="00D6401C"/>
    <w:rsid w:val="00E06039"/>
    <w:rsid w:val="00E41B50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2231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21</cp:revision>
  <dcterms:created xsi:type="dcterms:W3CDTF">2019-06-05T06:26:00Z</dcterms:created>
  <dcterms:modified xsi:type="dcterms:W3CDTF">2019-09-02T04:16:00Z</dcterms:modified>
</cp:coreProperties>
</file>