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09" w:rsidRDefault="00781E68" w:rsidP="00C0640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06409">
        <w:t xml:space="preserve"> </w:t>
      </w:r>
      <w:r w:rsidR="00C0640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М. В. </w:t>
      </w:r>
      <w:proofErr w:type="spellStart"/>
      <w:r w:rsidR="00C0640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Клепар</w:t>
      </w:r>
      <w:proofErr w:type="spellEnd"/>
      <w:r w:rsidR="00C0640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06409" w:rsidRDefault="00C06409" w:rsidP="00C0640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ДВНЗ «Прикарпатський національний університет імені Василя Стефаника»</w:t>
      </w:r>
    </w:p>
    <w:p w:rsidR="00C06409" w:rsidRDefault="00C06409" w:rsidP="00C0640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(м. Івано-Франківськ, Україна)</w:t>
      </w:r>
    </w:p>
    <w:p w:rsidR="00C06409" w:rsidRDefault="00C06409" w:rsidP="00C064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СТРУКТУРНО-ФУНКЦІОНАЛЬНА МОДЕЛЬ МЕТОДИЧНОЇ СИСТЕМИ НАВЧАННЯ СТУДЕНТІВ-МІЖНАРОДНИКІВ У ЗВО УКРАЇНИ</w:t>
      </w:r>
    </w:p>
    <w:p w:rsidR="00C06409" w:rsidRDefault="00C06409" w:rsidP="00C06409">
      <w:pPr>
        <w:pStyle w:val="Default"/>
        <w:spacing w:line="360" w:lineRule="auto"/>
        <w:ind w:firstLine="708"/>
        <w:jc w:val="both"/>
        <w:rPr>
          <w:rFonts w:eastAsia="Times-Roman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Згідно з базовими законодавчими та урядовими документами (</w:t>
      </w:r>
      <w:r>
        <w:rPr>
          <w:sz w:val="28"/>
          <w:szCs w:val="28"/>
          <w:lang w:val="uk-UA"/>
        </w:rPr>
        <w:t xml:space="preserve">Державна національна програма «Освіта» (Україна ХХІ ст.), </w:t>
      </w:r>
      <w:r>
        <w:rPr>
          <w:color w:val="auto"/>
          <w:sz w:val="28"/>
          <w:szCs w:val="28"/>
          <w:lang w:val="uk-UA"/>
        </w:rPr>
        <w:t>закони України «Про вищу освіту (2014 р.). «Про освіту» (2017 р.) та ін.), мета о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>світньої діяльності в закладах вищої освіти (</w:t>
      </w:r>
      <w:r>
        <w:rPr>
          <w:color w:val="auto"/>
          <w:sz w:val="28"/>
          <w:szCs w:val="28"/>
          <w:shd w:val="clear" w:color="auto" w:fill="FFFFFF"/>
          <w:lang w:val="uk-UA"/>
        </w:rPr>
        <w:t>ЗВО)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полягає в</w:t>
      </w:r>
      <w:r>
        <w:rPr>
          <w:color w:val="auto"/>
          <w:sz w:val="28"/>
          <w:szCs w:val="28"/>
          <w:shd w:val="clear" w:color="auto" w:fill="FFFFFF"/>
          <w:lang w:val="uk-UA"/>
        </w:rPr>
        <w:t xml:space="preserve"> підготовці здобувачів на певних рівнях вищої освіти за певними спеціальностями, що провадиться за акредитованими програмами.</w:t>
      </w:r>
      <w:r>
        <w:rPr>
          <w:color w:val="auto"/>
          <w:sz w:val="28"/>
          <w:szCs w:val="28"/>
          <w:lang w:val="uk-UA"/>
        </w:rPr>
        <w:t xml:space="preserve"> Вона конкретизується в завданнях щодо забезпечення держави кваліфікованими фахівцями, відтворення її інтелектуального потенціалу,  формування моральних норм поведінки особистості тощо. Основними засадами реалізації о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>світньої діяльності вишу</w:t>
      </w:r>
      <w:r>
        <w:rPr>
          <w:color w:val="auto"/>
          <w:sz w:val="28"/>
          <w:szCs w:val="28"/>
          <w:lang w:val="uk-UA"/>
        </w:rPr>
        <w:t xml:space="preserve"> є </w:t>
      </w:r>
      <w:proofErr w:type="spellStart"/>
      <w:r>
        <w:rPr>
          <w:color w:val="auto"/>
          <w:sz w:val="28"/>
          <w:szCs w:val="28"/>
          <w:lang w:val="uk-UA"/>
        </w:rPr>
        <w:t>багатопрофільність</w:t>
      </w:r>
      <w:proofErr w:type="spellEnd"/>
      <w:r>
        <w:rPr>
          <w:color w:val="auto"/>
          <w:sz w:val="28"/>
          <w:szCs w:val="28"/>
          <w:lang w:val="uk-UA"/>
        </w:rPr>
        <w:t xml:space="preserve"> змісту освіти і навчання, використання державних стандартів вищої освіти як її обов’язкового мінімуму; відповідність  освітньо-кваліфікаційного рівня підготовки фахівців вимогам професії і суспільним запитам; удосконалення технології і утвердження демократичної системи навчання; задоволення освітніх потреб особистості відповідно до її інтересів і здібностей; забезпечення належного рівня якості освітніх послуг і результатів освіти; випереджальний інноваційний розвиток освіти; мобільність процесу підготовки фахівців; безперервність освіти і створення можливостей для постійного поглиблення загальноосвітньої і фахової підготовки й перепідготовки; інтеграція у світовий освітній простір зі збереженням національних традицій і особливостей тощо. </w:t>
      </w:r>
    </w:p>
    <w:p w:rsidR="00C06409" w:rsidRDefault="00C06409" w:rsidP="00C06409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Ці загальні контури визначають концептуальні орієнтири підготовки майбутніх фахівців </w:t>
      </w:r>
      <w:r>
        <w:rPr>
          <w:sz w:val="28"/>
          <w:szCs w:val="28"/>
          <w:lang w:val="uk-UA"/>
        </w:rPr>
        <w:t xml:space="preserve">галузі знань «Міжнародні відносини», яка здійснюється за трьома </w:t>
      </w:r>
      <w:r>
        <w:rPr>
          <w:rFonts w:eastAsia="Times New Roman"/>
          <w:bCs/>
          <w:sz w:val="28"/>
          <w:szCs w:val="28"/>
          <w:lang w:val="uk-UA"/>
        </w:rPr>
        <w:t xml:space="preserve">спеціальностями </w:t>
      </w:r>
      <w:r>
        <w:rPr>
          <w:rFonts w:eastAsia="Times New Roman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Міжнародні відносини, суспільні комунікації та регіональні студії», </w:t>
      </w:r>
      <w:r>
        <w:rPr>
          <w:rFonts w:eastAsia="Times New Roman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Міжнародні економічні відносини», «Міжнародний </w:t>
      </w:r>
      <w:r>
        <w:rPr>
          <w:sz w:val="28"/>
          <w:szCs w:val="28"/>
          <w:lang w:val="uk-UA"/>
        </w:rPr>
        <w:lastRenderedPageBreak/>
        <w:t xml:space="preserve">бізнес». </w:t>
      </w:r>
      <w:r>
        <w:rPr>
          <w:color w:val="auto"/>
          <w:sz w:val="28"/>
          <w:szCs w:val="28"/>
          <w:lang w:val="uk-UA"/>
        </w:rPr>
        <w:t>Їхньою методологічною основою стала ф</w:t>
      </w:r>
      <w:r>
        <w:rPr>
          <w:sz w:val="28"/>
          <w:szCs w:val="28"/>
          <w:lang w:val="uk-UA"/>
        </w:rPr>
        <w:t xml:space="preserve">ілософія </w:t>
      </w:r>
      <w:proofErr w:type="spellStart"/>
      <w:r>
        <w:rPr>
          <w:sz w:val="28"/>
          <w:szCs w:val="28"/>
          <w:lang w:val="uk-UA"/>
        </w:rPr>
        <w:t>студентоцентризму</w:t>
      </w:r>
      <w:proofErr w:type="spellEnd"/>
      <w:r>
        <w:rPr>
          <w:sz w:val="28"/>
          <w:szCs w:val="28"/>
          <w:lang w:val="uk-UA"/>
        </w:rPr>
        <w:t xml:space="preserve">, яка вимагає постійного вдосконалення освітнього процесу та посилення практичної орієнтованості через створення педагогічних умов формування конкурентоспроможного фахівця, розширення </w:t>
      </w:r>
      <w:proofErr w:type="spellStart"/>
      <w:r>
        <w:rPr>
          <w:sz w:val="28"/>
          <w:szCs w:val="28"/>
          <w:lang w:val="uk-UA"/>
        </w:rPr>
        <w:t>квазіпрофесійного</w:t>
      </w:r>
      <w:proofErr w:type="spellEnd"/>
      <w:r>
        <w:rPr>
          <w:sz w:val="28"/>
          <w:szCs w:val="28"/>
          <w:lang w:val="uk-UA"/>
        </w:rPr>
        <w:t xml:space="preserve"> середовища, застосування інноваційних методів навчання, забезпечення міждисциплінарних зв’язків тощо. </w:t>
      </w:r>
    </w:p>
    <w:p w:rsidR="00C06409" w:rsidRDefault="00C06409" w:rsidP="00C06409">
      <w:pPr>
        <w:pStyle w:val="Default"/>
        <w:spacing w:line="360" w:lineRule="auto"/>
        <w:jc w:val="both"/>
        <w:rPr>
          <w:rFonts w:eastAsia="Times New Roman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 xml:space="preserve"> Означені й інші чинники зумовлюють потребу розробки та оволодіння і використання науково-педагогічними працівниками ЗВО методичної системи ефективної організації освітнього процесу професійної підготовки майбутніх фахівців-міжнародників. У концептуальному вимірі вони </w:t>
      </w:r>
      <w:r>
        <w:rPr>
          <w:sz w:val="28"/>
          <w:szCs w:val="28"/>
          <w:lang w:val="uk-UA"/>
        </w:rPr>
        <w:t xml:space="preserve">знайшли всебічне відображення в наукових і навчально-методичних дослідженнях сучасних учених (В. Андрущенко, І. </w:t>
      </w:r>
      <w:proofErr w:type="spellStart"/>
      <w:r>
        <w:rPr>
          <w:sz w:val="28"/>
          <w:szCs w:val="28"/>
          <w:lang w:val="uk-UA"/>
        </w:rPr>
        <w:t>Бех</w:t>
      </w:r>
      <w:proofErr w:type="spellEnd"/>
      <w:r>
        <w:rPr>
          <w:sz w:val="28"/>
          <w:szCs w:val="28"/>
          <w:lang w:val="uk-UA"/>
        </w:rPr>
        <w:t xml:space="preserve"> Г. </w:t>
      </w:r>
      <w:proofErr w:type="spellStart"/>
      <w:r>
        <w:rPr>
          <w:sz w:val="28"/>
          <w:szCs w:val="28"/>
          <w:lang w:val="uk-UA"/>
        </w:rPr>
        <w:t>Васянович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Вітвіцька</w:t>
      </w:r>
      <w:proofErr w:type="spellEnd"/>
      <w:r>
        <w:rPr>
          <w:sz w:val="28"/>
          <w:szCs w:val="28"/>
          <w:lang w:val="uk-UA"/>
        </w:rPr>
        <w:t xml:space="preserve">, І. Волощук В. </w:t>
      </w:r>
      <w:proofErr w:type="spellStart"/>
      <w:r>
        <w:rPr>
          <w:sz w:val="28"/>
          <w:szCs w:val="28"/>
          <w:lang w:val="uk-UA"/>
        </w:rPr>
        <w:t>Галузинський</w:t>
      </w:r>
      <w:proofErr w:type="spellEnd"/>
      <w:r>
        <w:rPr>
          <w:sz w:val="28"/>
          <w:szCs w:val="28"/>
          <w:lang w:val="uk-UA"/>
        </w:rPr>
        <w:t xml:space="preserve">, О. </w:t>
      </w:r>
      <w:proofErr w:type="spellStart"/>
      <w:r>
        <w:rPr>
          <w:sz w:val="28"/>
          <w:szCs w:val="28"/>
          <w:lang w:val="uk-UA"/>
        </w:rPr>
        <w:t>Глузман</w:t>
      </w:r>
      <w:proofErr w:type="spellEnd"/>
      <w:r>
        <w:rPr>
          <w:sz w:val="28"/>
          <w:szCs w:val="28"/>
          <w:lang w:val="uk-UA"/>
        </w:rPr>
        <w:t xml:space="preserve">, Н. </w:t>
      </w:r>
      <w:proofErr w:type="spellStart"/>
      <w:r>
        <w:rPr>
          <w:sz w:val="28"/>
          <w:szCs w:val="28"/>
          <w:lang w:val="uk-UA"/>
        </w:rPr>
        <w:t>Гузій</w:t>
      </w:r>
      <w:proofErr w:type="spellEnd"/>
      <w:r>
        <w:rPr>
          <w:sz w:val="28"/>
          <w:szCs w:val="28"/>
          <w:lang w:val="uk-UA"/>
        </w:rPr>
        <w:t xml:space="preserve">, Н. Дем’яненко, М. </w:t>
      </w:r>
      <w:proofErr w:type="spellStart"/>
      <w:r>
        <w:rPr>
          <w:sz w:val="28"/>
          <w:szCs w:val="28"/>
          <w:lang w:val="uk-UA"/>
        </w:rPr>
        <w:t>Євтух</w:t>
      </w:r>
      <w:proofErr w:type="spellEnd"/>
      <w:r>
        <w:rPr>
          <w:sz w:val="28"/>
          <w:szCs w:val="28"/>
          <w:lang w:val="uk-UA"/>
        </w:rPr>
        <w:t xml:space="preserve">,  І. </w:t>
      </w:r>
      <w:proofErr w:type="spellStart"/>
      <w:r>
        <w:rPr>
          <w:sz w:val="28"/>
          <w:szCs w:val="28"/>
          <w:lang w:val="uk-UA"/>
        </w:rPr>
        <w:t>Зязюн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 xml:space="preserve">Кремень, А. Кузьмінський, А. </w:t>
      </w:r>
      <w:proofErr w:type="spellStart"/>
      <w:r>
        <w:rPr>
          <w:sz w:val="28"/>
          <w:szCs w:val="28"/>
          <w:lang w:val="uk-UA"/>
        </w:rPr>
        <w:t>Марушкевич</w:t>
      </w:r>
      <w:proofErr w:type="spellEnd"/>
      <w:r>
        <w:rPr>
          <w:sz w:val="28"/>
          <w:szCs w:val="28"/>
          <w:lang w:val="uk-UA"/>
        </w:rPr>
        <w:t xml:space="preserve">, Н. </w:t>
      </w:r>
      <w:proofErr w:type="spellStart"/>
      <w:r>
        <w:rPr>
          <w:sz w:val="28"/>
          <w:szCs w:val="28"/>
          <w:lang w:val="uk-UA"/>
        </w:rPr>
        <w:t>Кошечко</w:t>
      </w:r>
      <w:proofErr w:type="spellEnd"/>
      <w:r>
        <w:rPr>
          <w:sz w:val="28"/>
          <w:szCs w:val="28"/>
          <w:lang w:val="uk-UA"/>
        </w:rPr>
        <w:t xml:space="preserve">, М. </w:t>
      </w:r>
      <w:proofErr w:type="spellStart"/>
      <w:r>
        <w:rPr>
          <w:sz w:val="28"/>
          <w:szCs w:val="28"/>
          <w:lang w:val="uk-UA"/>
        </w:rPr>
        <w:t>Томчук</w:t>
      </w:r>
      <w:proofErr w:type="spellEnd"/>
      <w:r>
        <w:rPr>
          <w:sz w:val="28"/>
          <w:szCs w:val="28"/>
          <w:lang w:val="uk-UA"/>
        </w:rPr>
        <w:t xml:space="preserve">, М. </w:t>
      </w:r>
      <w:proofErr w:type="spellStart"/>
      <w:r>
        <w:rPr>
          <w:sz w:val="28"/>
          <w:szCs w:val="28"/>
          <w:lang w:val="uk-UA"/>
        </w:rPr>
        <w:t>Фіцула</w:t>
      </w:r>
      <w:proofErr w:type="spellEnd"/>
      <w:r>
        <w:rPr>
          <w:sz w:val="28"/>
          <w:szCs w:val="28"/>
          <w:lang w:val="uk-UA"/>
        </w:rPr>
        <w:t xml:space="preserve">, Д. </w:t>
      </w:r>
      <w:proofErr w:type="spellStart"/>
      <w:r>
        <w:rPr>
          <w:sz w:val="28"/>
          <w:szCs w:val="28"/>
          <w:lang w:val="uk-UA"/>
        </w:rPr>
        <w:t>Чернілевський</w:t>
      </w:r>
      <w:proofErr w:type="spellEnd"/>
      <w:r>
        <w:rPr>
          <w:sz w:val="28"/>
          <w:szCs w:val="28"/>
          <w:lang w:val="uk-UA"/>
        </w:rPr>
        <w:t xml:space="preserve"> та ін.). Аналіз цього доробку і практичного досвіду роботи дозволяє окреслити основні вихідні науково-теоретичні аспекти методичної системи професійної підготовки студентів-міжнародників у ЗВО України.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Під методикою навчання майбутніх міжнародників розуміємо сукупність пов’язаних у логічну систему цього процесу методів, форм, засобів, умов і практичних рекомендацій, які забезпечують їхню якісну фахову підготовку. Її визначальною особливістю є інтегрований характер, що полягає в органічному поєднанні наукових галузей міжнародні відносини, з одного боку, та правознавства, економіки, країнознавства, інформативних систем тощо, з іншого. Це ускладнює методичний аналіз системи навчання, що здійснюється за відвідними спеціальностями на бакалаврському і магістерському рівнях  вищої освіти та за окремими навчальними дисциплінами на основі конкретних методик викладання.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 основних складників методичної системи належать окремі </w:t>
      </w:r>
      <w:r>
        <w:rPr>
          <w:sz w:val="28"/>
          <w:szCs w:val="28"/>
          <w:lang w:val="uk-UA"/>
        </w:rPr>
        <w:lastRenderedPageBreak/>
        <w:t>підсистеми методів (1), форм (2) і засобів (3) організації навчання у вищій школі. Розглянемо їх у контексті нашого дослідження.</w:t>
      </w:r>
    </w:p>
    <w:p w:rsidR="00C06409" w:rsidRDefault="00C06409" w:rsidP="00C064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Виходячи з численних тлумачень категорії «методи навчання», трактуємо їх як складне, багатовимірне утворення, що визначає способи управління і організації пізнавальною діяльністю студентів-міжнародників та їхньої упорядкованої взаємодії із викладачем, спрямованої на комплексне розв’язання проблем освіти, виховання і розвитку в процесі навчання. Намагаючись систематизувати й упорядкувати безліч методів навчання,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вчені-дидакти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розробили їхні численні класифікації, зокрема, за такими ознаками, як навчальні цілі, види знань, етапи навчання, логіка навчального процесу, рівень пізнавальної діяльності студента та ін. </w:t>
      </w:r>
    </w:p>
    <w:p w:rsidR="00C06409" w:rsidRDefault="00C06409" w:rsidP="00C06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Спираючись на ці наукові надбання і практичний досвід організації навчання студентів-міжнародників у ЗВО України, пропонуємо комплексну модель цього процесу, представлену в табл. 1. В її основу покладена функціональна спрямованість методів навчання, які забезпечують професійну підготовку майбутніх фахівців з різних навчальних дисциплін за окремими спеціальностями. </w:t>
      </w:r>
    </w:p>
    <w:p w:rsidR="00C06409" w:rsidRDefault="00C06409" w:rsidP="00C06409">
      <w:pPr>
        <w:spacing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Табл.1  </w:t>
      </w:r>
    </w:p>
    <w:p w:rsidR="00C06409" w:rsidRDefault="00C06409" w:rsidP="00C0640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Комплексна модель використання навчальних методів професійної підготовки студентів-міжнародників у ЗВО України </w:t>
      </w:r>
      <w:bookmarkStart w:id="0" w:name="_GoBack"/>
      <w:bookmarkEnd w:id="0"/>
    </w:p>
    <w:tbl>
      <w:tblPr>
        <w:tblStyle w:val="a4"/>
        <w:tblW w:w="0" w:type="auto"/>
        <w:tblLook w:val="04A0"/>
      </w:tblPr>
      <w:tblGrid>
        <w:gridCol w:w="1929"/>
        <w:gridCol w:w="7416"/>
      </w:tblGrid>
      <w:tr w:rsid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Класифікаційні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ознаки 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Групи методів та їхня функціонально-інструментальна спрямованість</w:t>
            </w:r>
          </w:p>
        </w:tc>
      </w:tr>
      <w:tr w:rsidR="00C06409" w:rsidRP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джерелами знань («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тради-ційна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Словесні: розповідь, пояснення, лекція, бесіда, дискусія, проблемний виклад, робота з книгою (читання, цитування, реферування тощо).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Наочні: ілюстрування (схеми, рисунки), показ (фото, плакати), демонстрація (відео,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фонозапис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моделі тощо).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Практичні: вправи (підготовчі, тренувальні, творчі, імітаційні контрольні та ін.), складання схем, таблиць, графіків тощо.</w:t>
            </w:r>
          </w:p>
        </w:tc>
      </w:tr>
      <w:tr w:rsid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етапами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про-цесу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навчання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Набуття знань – формування умінь і навичок – застосування їх на практиці – закріплення – перевірка знань, умінь, навичок.</w:t>
            </w:r>
          </w:p>
        </w:tc>
      </w:tr>
      <w:tr w:rsid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навчальними цілями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Показує відповідність типів методів навчання їхнім основним видам: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письмові, усні – інформаційно-презентаційні;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діалогічні, предметні, групові – алгоритмічно-групові;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індивідуальна і самостійна робота – самостійно-пошукові.</w:t>
            </w:r>
          </w:p>
        </w:tc>
      </w:tr>
      <w:tr w:rsidR="00C06409" w:rsidRP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 рівнем мислення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Відображає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взамозалежність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 застосуванням методів викладачем (словесні, наочні, практичні або активні) та відповідну реакцією студента: а) репродуктивні: повідомлення і роз’яснення навчальної інформації – її сприйняття, запам’ятовування, відтворення; б) проблемно-пошукові: створення проблемної ситуації – аналіз, синтез, пошук шляхів розв’язання тощо.</w:t>
            </w:r>
          </w:p>
        </w:tc>
      </w:tr>
      <w:tr w:rsidR="00C06409" w:rsidRP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характером комунікації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Монологічні (лекція, розповідь, демонстрація); діалогічні (діалог, бесіда, дискусія); співробітництва (індивідуальні, групові, фронтальні, колективні).</w:t>
            </w:r>
          </w:p>
        </w:tc>
      </w:tr>
      <w:tr w:rsidR="00C06409" w:rsidRP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спрямованістю на розв’язання дослідницьких завдань</w:t>
            </w: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Відображає взаємозалежність між спрямованістю методів і прийомів навчання на пошук шляхів розв’язання наукових проблем (вивчення фактів і явищ; виявлення невідомих або нерозв’язаних проблем; розробка плану стратегії їхнього вивчення; його реалізація; формулювання й пояснення рішень і висновків; їхнє застосування) та функціональним значенням і наслідками застосування методів (оволодіння новими знаннями; розвиток інтересу до професії і творчого потенціалу; творче застосування на практиці).</w:t>
            </w:r>
          </w:p>
        </w:tc>
      </w:tr>
      <w:tr w:rsidR="00C06409" w:rsidRPr="00C06409" w:rsidTr="00C06409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цілісністю організації навчально-пізнавальної діяльності 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Методи, що відображають послідовність, взаємозалежність, цілісність окремих етапів, цілей, компонентів навчального процесу: організації і здійснення (формування і засвоєння знань, умінь, навичок); стимулювання і мотивації (стимулюють пізнавальну діяльність, формують свідоме, цілеспрямоване опанування фаховими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компетентностями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 контролю і самоконтролю (дозволяють виявляти рівень і якість знань і навичок, визначати шляхи їхнього розвитку).</w:t>
            </w:r>
          </w:p>
        </w:tc>
      </w:tr>
    </w:tbl>
    <w:p w:rsidR="00C06409" w:rsidRDefault="00C06409" w:rsidP="00C064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6409" w:rsidRDefault="00C06409" w:rsidP="00C06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Ця структурована модель апріорі не претендує на відображення всього розмаїття методів, які використовуються в навчальному процесі ЗВО, що готують майбутніх міжнародників, однак увиразнює їхні основні класифікаційні схеми, які в силу об’єктивних причин перетинаються між собою. При цьому вона певною мірою відображає виявлену нами тенденцію щодо поступового заміщення використання навчальних методів, притаманних «традиційній»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знаннєвій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освітній парадигмі, інтерактивними методами, які відповідають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орієнтованій парадигмі. Проте друга група методів не витіснила першу, тож вони продовжують співіснувати та домінують залежно від стилю і характеру організації навчального процесу.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Добір методів навчання студентів-міжнародників залежить від: а) його змісту і загальних цілей, які мають реалізуватися в процесі фахової підготовки за певною спеціальністю; б) особливостей викладання кожної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конкретної навчальної дисципліни; в) мети, завдань, змісту різних видів навчальних занять; г) вікових особливостей і рівня підготовки студентів; ґ) рівня навчально-методичного забезпечення і матеріального оснащення ЗВО тощо.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Вид, мета, завдання навчального заняття та конкретна навчальна ситуація зумовлюють вибір і застосування сукупності прийомів навчання, що, як складник або різновид методу, відіграють важливу роль у стимулюванні й активізації уваги, мислення, самостійності, творчості, інших виявів активності студента. За умов і викликів ХХІ ст. науково-педагогічному працівникові, який здійснює професійну підготовку майбутніх міжнародників, необхідно бути добрим фахівцем у своїй галузі, знати методичні засади викладання у вищій школі та вміти їх адаптувати до інтересів, запитів студентства. Це означає оволодіння комплексними технологіями отримання запланованих результатів навчання.</w:t>
      </w:r>
    </w:p>
    <w:p w:rsidR="00C06409" w:rsidRDefault="00C06409" w:rsidP="00C06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Сказане повною мірою стосується використання форм навчання, під якими, виходячи з науково-методичних напрацювань учених і предметного контексту цього дослідження, розуміємо дидактичну категорію, що розкриває зовнішню сторону організації навчального процесу та є змістовно насиченою, методично оснащеною й цілеспрямовано організованою узгодженою взаємодією викладача-педагога і студента-міжнародника. Основні форми навчання у ЗВО прописані в нормативних освітніх документах, тож значною мірою визначають і регламентують механізми впорядкування навчального процесу через призму його принципів, функцій, суб’єктів, циклів, навчального часу й інших структурних одиниць. Вони реалізуються як єдність змісту, методів, засобів і результатів навчання.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Вивчення історичного досвіду і практики організації навчання у ЗВО через призму розроблених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ученими-дидактами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наукових підходів до градації його форм дозволяє представити в таблиці 2 класифікаційну модель основних форм навчання студентів-міжнародників у вишах. </w:t>
      </w:r>
    </w:p>
    <w:p w:rsidR="00C06409" w:rsidRDefault="00C06409" w:rsidP="00C06409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Табл. 2</w:t>
      </w:r>
    </w:p>
    <w:p w:rsidR="00C06409" w:rsidRDefault="00C06409" w:rsidP="00C0640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Класифікаційна модель основних форм навчання студентів-міжнародників у ЗВО України</w:t>
      </w:r>
    </w:p>
    <w:tbl>
      <w:tblPr>
        <w:tblStyle w:val="a4"/>
        <w:tblW w:w="0" w:type="auto"/>
        <w:tblLook w:val="04A0"/>
      </w:tblPr>
      <w:tblGrid>
        <w:gridCol w:w="1983"/>
        <w:gridCol w:w="7588"/>
      </w:tblGrid>
      <w:tr w:rsid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Класифікаційна</w:t>
            </w:r>
          </w:p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ознака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Групи організаційних форм навчання</w:t>
            </w:r>
          </w:p>
        </w:tc>
      </w:tr>
      <w:tr w:rsidR="00C06409" w:rsidRP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функціональним призначенням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Форми здобуття знань, формування умінь, навичок: лекція, семінар, консультація, практикум, домашня робота, індивідуальні завдання (реферат, курсова, дипломна робота; навчальна і виробнича практика; факультатив, гурток, конференція, екскурсія та ін.).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Форми організації контролю за рівнем знань і вмінь: контрольна робота, колоквіум, рубіжний контроль, співбесіда, тестування, залік, екзамен, захист курсових і дипломних робіт,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тощо.</w:t>
            </w:r>
          </w:p>
        </w:tc>
      </w:tr>
      <w:tr w:rsid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видами навчальних занять і навчальної діяльності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видами навчальних занять: лекції; практичні, семінарські, індивідуальні заняття; консультації, самостійна робота студентів; навчальні ігри і конференції тощо. 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видами навчальної діяльності: навчальні заняття; самостійна робота; практична підготовка; індивідуальні завдання; контрольні заходи.</w:t>
            </w:r>
          </w:p>
        </w:tc>
      </w:tr>
      <w:tr w:rsid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цільовою спрямованістю навчальних занять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Заняття: вступне; формування знань і умінь; узагальнення / закріплення  знань і умінь; заключне; контроль за рівнем засвоєння навчального матеріалу тощо.</w:t>
            </w:r>
          </w:p>
        </w:tc>
      </w:tr>
      <w:tr w:rsid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комунікатив-ною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взаємодією «студент-викладач»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Безпосередня взаємодія: групова, фронтальна, парна, індивідуальна; 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Опосередкована комунікація: різновиди дистанційного навчання, «доставки освітніх послуг додому», передачі навчальної інформації, форм контролю тощо</w:t>
            </w:r>
          </w:p>
        </w:tc>
      </w:tr>
      <w:tr w:rsidR="00C06409" w:rsidTr="00C0640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механізмом декомпозиції змісту навчання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Дисциплінарний механізм: поділ за окремими дисциплінами (їхніми циклами, блоками тощо); умовне предметне навчання.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Комплексний механізм: поділ за галуззю знань, спеціальностями; за об’єктом; за навчальними одиницями, зокрема модульне навчання (групування навчального матеріалу за «одиницями-модулями») тощо.</w:t>
            </w:r>
          </w:p>
        </w:tc>
      </w:tr>
    </w:tbl>
    <w:p w:rsidR="00C06409" w:rsidRDefault="00C06409" w:rsidP="00C0640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6409" w:rsidRDefault="00C06409" w:rsidP="00C06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Представлена в табл. 2 структурна модель не вичерпує розмаїття організаційних форм навчання студентів-міжнародників у ЗВО, однак увиразнює суть цієї проблеми: відображає їхню багатофункціональність, взаємозалежність, значення для організації навчального процесу тощо. Основні форми навчання пов’язані і визначаються кількістю студентів, часом і місцем навчання, порядком його здійснення, характером взаємодії «студент – викладач». Вони є способом протікання навчального процесу, зовнішньою оболонкою, що визначає його змістове наповнення, внутрішню сутність і логіку, а також добір методів і засобів навчання, їхню комбінацію тощо. </w:t>
      </w:r>
    </w:p>
    <w:p w:rsidR="00C06409" w:rsidRDefault="00C06409" w:rsidP="00C064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 таких позицій визначаємо науково-теоретичну сутність і структурну функціональність третього основного компонента методичної системи ЗВО – засобів навчання. У педагогічний науці усталилося їхнє трактування як сукупності допоміжних (передусім матеріальних і наочних) об’єктів забезпечення навчального процесу, що сприяють активізації навчально-пізнавальної діяльності студентів завдяки візуалізації, конкретизації, спрощення навчальної інформації, її диференціації й наближення до реального життя тощо. За сучасних умов воно корегується під впливом тотальної експансії електронних засобів навчання, які не лише витісняють «традиційні», а й подекуди починають ототожнюватися із засобами навчання загалом. Цей процес зумовлює парадигма інноваційних технологій навчання, однак у ближчій перспективі обидва різновиди засобів навчання будуть співіснувати. Їхнє розмаїття в контексті досліджуваної проблеми увиразнює таблиця 3.</w:t>
      </w:r>
    </w:p>
    <w:p w:rsidR="00C06409" w:rsidRDefault="00C06409" w:rsidP="00C06409">
      <w:pPr>
        <w:spacing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Табл. 3</w:t>
      </w:r>
    </w:p>
    <w:p w:rsidR="00C06409" w:rsidRDefault="00C06409" w:rsidP="00C0640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Класифікаційна схема основних засобів навчання у ЗВО</w:t>
      </w: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Різновид (класифікаційна ознака)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Засоби навчання</w:t>
            </w:r>
          </w:p>
        </w:tc>
      </w:tr>
      <w:tr w:rsidR="00C06409" w:rsidRP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Капітальні інфраструктурні об’єкти ЗВО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Навчальні приміщення, аудиторії, бібліотеки, спортивні й оздоровчі комплекси, гуртожитки, заклади харчування. </w:t>
            </w:r>
          </w:p>
        </w:tc>
      </w:tr>
      <w:tr w:rsid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Дидактичні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Підручники, навчальні посібники, інші навчально-методичні матеріали; програмне забезпечення інформаційно-комп’ютерних технологій та ін. </w:t>
            </w:r>
          </w:p>
        </w:tc>
      </w:tr>
      <w:tr w:rsidR="00C06409" w:rsidRP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Наочні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Натуральні (географічні об’єкти, артефакти тощо); зображувальні (картини, аплікації); знаково-символічні (схеми, графіки, діаграми, таблиці).</w:t>
            </w:r>
          </w:p>
        </w:tc>
      </w:tr>
      <w:tr w:rsid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Мовні системи знаків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Вербальна і невербальна форми спілкування. </w:t>
            </w:r>
          </w:p>
        </w:tc>
      </w:tr>
      <w:tr w:rsid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Технічні 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Залежно від обладнання і способу передачі інформації: дидактична техніка (кіно-, відео-, діапроектори, телевізори, магнітофони тощо); екранні посібники статичної і динамічної проекції (діафільми, діапозитиви, кінофільми та ін.);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фонопосібники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магнітофонні записи; радіо- і телепередачі) тощо.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Залежно від каналу управління навчальним процесом: інформаційні, навчаючі, контролюючі.</w:t>
            </w:r>
          </w:p>
        </w:tc>
      </w:tr>
      <w:tr w:rsidR="00C06409" w:rsidRPr="00C06409" w:rsidTr="00C0640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характером обладнання: комп’ютерні і предметні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комплекси (навчальні кабінети, спеціалізовані меблі, робочі місця студента і викладача); навчальна техніка (комп’ютер, сканер, принтер, проектор тощо); програмно-методичні комплекси (комп’ютерні навчальні програми); мережеве  телекомунікаційне обладнання; лабораторне обладнання; екранно-звукові засоби тощо.</w:t>
            </w:r>
          </w:p>
          <w:p w:rsidR="00C06409" w:rsidRDefault="00C064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змістовим наповненням і дидактичними цілями: підручники і посібники; довідники і енциклопедії; комп’ютерні ігри, тренажери; експертні й інструментальні середовища; моделююча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репрезентативно-демонструюча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анімація; логічно керовані діаграми і графіки тощо.</w:t>
            </w:r>
          </w:p>
        </w:tc>
      </w:tr>
    </w:tbl>
    <w:p w:rsidR="00C06409" w:rsidRDefault="00C06409" w:rsidP="00C064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6409" w:rsidRDefault="00C06409" w:rsidP="00C0640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Умовність представлених у табл. 3 й інших класифікацій зумовлюється тим, що вони включають одні й ті ж засоби навчання. Їхнє розмаїття розширюється в розрізі застосування різних засобів навчання на рівнях цілісного навчального процесу у виші, окремої навчальної дисципліни, навчального заняття тощо. При цьому домінує тенденція, згідно з якою набір і межі використання традиційних для другої половини ХХ ст. засобів навчання звужуються на користь електронних. Вони мають незаперечні переваги, адже дозволяють навчатися не лише «тут і зараз», але й дистанційно, оптимізують процес оновлення змісту наукової і навчальної інформації, є менш витратними у фінансовому плані, відзначаються виразною інтерактивною й особистісно орієнтованою спрямованістю тощо.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77A6B" w:rsidRPr="00C06409" w:rsidRDefault="00C06409" w:rsidP="008A28E1">
      <w:pPr>
        <w:spacing w:line="360" w:lineRule="auto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методична система навчання студентів-міжнародників у ЗВО України та її основні складники у вигляді окремих підсистем методів, форм і засобів організації цього процесу постійно еволюціонує під впливом особливостей і тенденцій розвитку галузі знань «Міжнародні відносини» та нових викликів процесу глобалізації. Водночас вона потребує послідовної комплексної модернізації і вдосконалення в контексті загального реформування національної системи освіти та її інтеграції у світовій культурно-освітній простір. </w:t>
      </w:r>
    </w:p>
    <w:sectPr w:rsidR="00277A6B" w:rsidRPr="00C06409" w:rsidSect="005F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B43C8"/>
    <w:multiLevelType w:val="multilevel"/>
    <w:tmpl w:val="20F47B9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2A47"/>
    <w:rsid w:val="000F33F6"/>
    <w:rsid w:val="00100981"/>
    <w:rsid w:val="00175D5A"/>
    <w:rsid w:val="001A6E08"/>
    <w:rsid w:val="00277A6B"/>
    <w:rsid w:val="002B1D9D"/>
    <w:rsid w:val="003667D5"/>
    <w:rsid w:val="00442A47"/>
    <w:rsid w:val="004631A4"/>
    <w:rsid w:val="005F1322"/>
    <w:rsid w:val="00781E68"/>
    <w:rsid w:val="008A28E1"/>
    <w:rsid w:val="00A616AE"/>
    <w:rsid w:val="00AC441D"/>
    <w:rsid w:val="00C06409"/>
    <w:rsid w:val="00C5617D"/>
    <w:rsid w:val="00C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0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61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5617D"/>
    <w:pPr>
      <w:spacing w:line="259" w:lineRule="auto"/>
      <w:ind w:left="720"/>
      <w:contextualSpacing/>
    </w:pPr>
  </w:style>
  <w:style w:type="table" w:styleId="a4">
    <w:name w:val="Table Grid"/>
    <w:basedOn w:val="a1"/>
    <w:uiPriority w:val="39"/>
    <w:rsid w:val="00C5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</cp:revision>
  <dcterms:created xsi:type="dcterms:W3CDTF">2019-03-20T20:06:00Z</dcterms:created>
  <dcterms:modified xsi:type="dcterms:W3CDTF">2019-03-20T20:07:00Z</dcterms:modified>
</cp:coreProperties>
</file>