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01" w:rsidRPr="003C1F5D" w:rsidRDefault="00475A01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C1F5D">
        <w:rPr>
          <w:rFonts w:ascii="Times New Roman" w:hAnsi="Times New Roman" w:cs="Times New Roman"/>
          <w:b/>
          <w:sz w:val="24"/>
          <w:szCs w:val="24"/>
        </w:rPr>
        <w:t>Лекція</w:t>
      </w:r>
      <w:r w:rsidR="003206F8">
        <w:rPr>
          <w:rFonts w:ascii="Times New Roman" w:hAnsi="Times New Roman" w:cs="Times New Roman"/>
          <w:b/>
          <w:sz w:val="24"/>
          <w:szCs w:val="24"/>
        </w:rPr>
        <w:t xml:space="preserve"> 11.</w:t>
      </w:r>
    </w:p>
    <w:p w:rsidR="00475A01" w:rsidRPr="003C1F5D" w:rsidRDefault="00475A01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C1F5D">
        <w:rPr>
          <w:rFonts w:ascii="Times New Roman" w:hAnsi="Times New Roman" w:cs="Times New Roman"/>
          <w:b/>
          <w:sz w:val="24"/>
          <w:szCs w:val="24"/>
        </w:rPr>
        <w:t>Тема:</w:t>
      </w:r>
      <w:r w:rsidR="007D5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F5D" w:rsidRPr="003C1F5D">
        <w:rPr>
          <w:rFonts w:ascii="Times New Roman" w:hAnsi="Times New Roman" w:cs="Times New Roman"/>
          <w:b/>
          <w:sz w:val="24"/>
          <w:szCs w:val="24"/>
        </w:rPr>
        <w:t>Захворювання органа слуху у осіб похилого віку.</w:t>
      </w:r>
    </w:p>
    <w:p w:rsidR="00475A01" w:rsidRPr="003C1F5D" w:rsidRDefault="00475A01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C1F5D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475A01" w:rsidRPr="003C1F5D" w:rsidRDefault="00475A01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1. Стареча приглухуватість.</w:t>
      </w:r>
    </w:p>
    <w:p w:rsidR="00475A01" w:rsidRPr="003C1F5D" w:rsidRDefault="003C1F5D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 xml:space="preserve">2. </w:t>
      </w:r>
      <w:r w:rsidR="00475A01" w:rsidRPr="003C1F5D">
        <w:rPr>
          <w:rFonts w:ascii="Times New Roman" w:hAnsi="Times New Roman" w:cs="Times New Roman"/>
          <w:sz w:val="24"/>
          <w:szCs w:val="24"/>
        </w:rPr>
        <w:t>Порушення функції рівноваги у пацієнтів похилого віку.</w:t>
      </w:r>
    </w:p>
    <w:p w:rsidR="003C1F5D" w:rsidRPr="003C1F5D" w:rsidRDefault="003C1F5D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C1F5D">
        <w:rPr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right="20" w:firstLine="300"/>
        <w:rPr>
          <w:rStyle w:val="a4"/>
          <w:rFonts w:ascii="Times New Roman" w:hAnsi="Times New Roman" w:cs="Times New Roman"/>
          <w:b/>
          <w:sz w:val="24"/>
          <w:szCs w:val="24"/>
        </w:rPr>
      </w:pPr>
      <w:r w:rsidRPr="003C1F5D">
        <w:rPr>
          <w:rFonts w:ascii="Times New Roman" w:hAnsi="Times New Roman" w:cs="Times New Roman"/>
          <w:b/>
          <w:sz w:val="24"/>
          <w:szCs w:val="24"/>
        </w:rPr>
        <w:t>1. Стареча приглухуватість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Вухо</w:t>
      </w:r>
      <w:r w:rsidRPr="003C1F5D">
        <w:rPr>
          <w:rFonts w:ascii="Times New Roman" w:hAnsi="Times New Roman" w:cs="Times New Roman"/>
          <w:sz w:val="24"/>
          <w:szCs w:val="24"/>
        </w:rPr>
        <w:t xml:space="preserve"> — це складний орган, який сприймає звуки і через який проходять звукові хвилі повітря. Вуха дають змогу чути шепіт, крик, служать своєрідними перетворювачами звукових хвиль на електричні сигнали, які надходять у мозок. Завдяки органу слуху ми зберігаємо рівновагу.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Звукові хвилі з вушної раковини потрапляють через зовніш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ній слуховий хід у середнє вухо — там барабанна перетинка віб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рує і передає звукові хвилі у внутрішнє вухо. У внутрішньому вусі є завитка — крихітне утворення, заповнене рідиною. Всере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дині її інформація звукових хвиль перетворюється на електрич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ні сигнали, які потрапляють у мозок. Мозок розшифровує зву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ки: шепіт чи гуркіт, музика чи дитячий плач. До завитки при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кріплюються три напівкруглих Є-подібних канали, які сприя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ють збереженню рівноваги. Біологічне старіння організму су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проводжується зниженням функцій багатьох органів і тканин, у тому числі органа. Так, як і сам процес старіння, ознаки і темпи розвитку вікової приглухуватості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індивідуальні. У деяких осіб добрий слух зберігається до 70 років, в інших починає знижуватись у 50 років і навіть рані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ше. У віці 60—69 років стареча приглухуватість буває в 13,3 випадку на кожну тисячу населення, у 70—79 років — у 33,3 випадку.</w:t>
      </w:r>
    </w:p>
    <w:p w:rsidR="00475A01" w:rsidRPr="003C1F5D" w:rsidRDefault="00475A01" w:rsidP="003C1F5D">
      <w:pPr>
        <w:pStyle w:val="1"/>
        <w:shd w:val="clear" w:color="auto" w:fill="auto"/>
        <w:spacing w:before="145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Деякі автори прогресуючу вікову приглухуватість поділя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ють на:</w:t>
      </w:r>
    </w:p>
    <w:p w:rsidR="00475A01" w:rsidRPr="003C1F5D" w:rsidRDefault="00475A01" w:rsidP="003C1F5D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“чисто”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вікову;</w:t>
      </w:r>
    </w:p>
    <w:p w:rsidR="00475A01" w:rsidRPr="003C1F5D" w:rsidRDefault="00475A01" w:rsidP="003C1F5D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 xml:space="preserve"> зумовлену віковими хворобами (атеросклероз);</w:t>
      </w:r>
    </w:p>
    <w:p w:rsidR="00475A01" w:rsidRPr="003C1F5D" w:rsidRDefault="00475A01" w:rsidP="003C1F5D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 xml:space="preserve"> яка не має відношення до віку (діабетична капілярна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ан-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гіопатія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, при якій погіршується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кровотік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у завитці; дія побуто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вого і промислового шуму тощо). У внутрішньому вусі, нерво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вих слухових шляхах, центрі слуху, корі великого мозку вна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слідок дегенеративно-атрофічних змін не тільки порушується слух, а й спостерігається загальне уповільнення психічних і фі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зичних реакцій на звукові сигнали, знижується здатність не тільки чути звуки, а й розуміти сказане.</w:t>
      </w:r>
    </w:p>
    <w:p w:rsidR="00475A01" w:rsidRPr="003C1F5D" w:rsidRDefault="00475A01" w:rsidP="003C1F5D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Після 40 років часто знижується сприйняття високих тонів у діапазоні мовленнєвих частот. Сприйняття низьких тонів зни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жується значно пізніше і меншою мірою. При зниженні сприй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няття високих частот погіршується здатність розрізняти приго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лосні звуки, тому що вони складаються з більш високих тонів і надають словам чіткого звучання, а голосні надають звучності. Приголосні є слабкими звуками і легко приглушуються випад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ковими шумами, розрізняти їх стає все важче. Тому старі люди хоч і чують голос, але погано розуміють схожі слова, інформа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цію, закодовану в звукових сигналах, нерідко перепитують сло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ва, відповідають неправильно або невлад, повністю не одержу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ють інформацію і не завжди її правильно розуміють. Пацієнт похилого віку чує і розуміє мовлення в тихій кімнаті, у шумно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му ж оточенні — набагато гірше, погано розрізняє швидке мов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лення без інтонацій. Неправильні відповіді часто є причинами комічних ситуацій, а старі люди — предметом насміхань. Це негативно впливає на них: вони ізолюються, замикаються в собі. </w:t>
      </w:r>
    </w:p>
    <w:p w:rsidR="00475A01" w:rsidRPr="003C1F5D" w:rsidRDefault="00475A01" w:rsidP="003C1F5D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Діагностика старечої приглухуватості складна, тому що в процесі життя людини нашаровуються різні соціальні й ендоген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ні чинники (шийний остеохондроз, захворювання нирок тощо).</w:t>
      </w:r>
    </w:p>
    <w:p w:rsidR="00475A01" w:rsidRPr="003C1F5D" w:rsidRDefault="00475A01" w:rsidP="003C1F5D">
      <w:pPr>
        <w:pStyle w:val="1"/>
        <w:numPr>
          <w:ilvl w:val="0"/>
          <w:numId w:val="1"/>
        </w:numPr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Проведення тестів переривчастим і фільтрованим мовленням є найбільш об’єктивним дослідженням тяжкості старечої при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глухуватості і метод прогнозування ефективності електроакус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тичної корекції слуху.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Вікові зміни органа слуху, які виникли, незворотні і важко піддаються лікуванню. Метою лікування є стабілізація й уповільнення процесу старін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ня слухового аналізатора. Перед початком </w:t>
      </w:r>
      <w:r w:rsidRPr="003C1F5D">
        <w:rPr>
          <w:rFonts w:ascii="Times New Roman" w:hAnsi="Times New Roman" w:cs="Times New Roman"/>
          <w:sz w:val="24"/>
          <w:szCs w:val="24"/>
        </w:rPr>
        <w:lastRenderedPageBreak/>
        <w:t>лікування уточню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ють ступінь ураження окремих відділів слухового аналізатора, виявляють супутні захворювання і шкідливі звички.</w:t>
      </w:r>
    </w:p>
    <w:p w:rsidR="00475A01" w:rsidRPr="003C1F5D" w:rsidRDefault="00475A01" w:rsidP="003C1F5D">
      <w:pPr>
        <w:widowControl/>
        <w:rPr>
          <w:rFonts w:ascii="Times New Roman" w:hAnsi="Times New Roman" w:cs="Times New Roman"/>
        </w:rPr>
      </w:pPr>
      <w:r w:rsidRPr="003C1F5D">
        <w:rPr>
          <w:rFonts w:ascii="Times New Roman" w:hAnsi="Times New Roman" w:cs="Times New Roman"/>
        </w:rPr>
        <w:t xml:space="preserve">При </w:t>
      </w:r>
      <w:proofErr w:type="spellStart"/>
      <w:r w:rsidRPr="003C1F5D">
        <w:rPr>
          <w:rFonts w:ascii="Times New Roman" w:hAnsi="Times New Roman" w:cs="Times New Roman"/>
        </w:rPr>
        <w:t>пресбіакузисі</w:t>
      </w:r>
      <w:proofErr w:type="spellEnd"/>
      <w:r w:rsidRPr="003C1F5D">
        <w:rPr>
          <w:rFonts w:ascii="Times New Roman" w:hAnsi="Times New Roman" w:cs="Times New Roman"/>
        </w:rPr>
        <w:t xml:space="preserve"> призначають комплексне лікування пре</w:t>
      </w:r>
      <w:r w:rsidRPr="003C1F5D">
        <w:rPr>
          <w:rFonts w:ascii="Times New Roman" w:hAnsi="Times New Roman" w:cs="Times New Roman"/>
        </w:rPr>
        <w:softHyphen/>
        <w:t>паратами, які покращують обмінні процеси і кровообіг у слухо</w:t>
      </w:r>
      <w:r w:rsidRPr="003C1F5D">
        <w:rPr>
          <w:rFonts w:ascii="Times New Roman" w:hAnsi="Times New Roman" w:cs="Times New Roman"/>
        </w:rPr>
        <w:softHyphen/>
        <w:t>вому аналізаторі, курси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 xml:space="preserve">вітамінотерапії, судинорозширювальні засоби, оксигенотерапію, фізіотерапевтичні процедури. 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Профілактика</w:t>
      </w:r>
      <w:r w:rsidRPr="003C1F5D">
        <w:rPr>
          <w:rFonts w:ascii="Times New Roman" w:hAnsi="Times New Roman" w:cs="Times New Roman"/>
          <w:sz w:val="24"/>
          <w:szCs w:val="24"/>
        </w:rPr>
        <w:t xml:space="preserve"> старечої приглухуватості поля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гає в: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- боротьбі з раннім старінням органа слуху: відмова від алкоголю і тютюну;відновлення сну; раціональна дієта;лікувальна гімнастика;прогулянки за містом;помірна фізична праця на садовій ділянці;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left="320"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- усуненні чинників, що негативно впливають на функцію слуху: професійні шкідливості (шум, вібрація); нераціональне призначення антибіотиків (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аміноглікозидів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, тетрациклінів) та інших ліків (сечогінних, саліцилатів, хініну); профілактика і своєчасне лікування отитів, гострих рес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піраторних інфекцій, менінгіту, епідемічного паротиту, інфек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ційного гепатиту тощо; інтоксикації свинцем, марганцем, ртуттю; ранньому виявленні приглухуватості, коли ще є мож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ливість запобігти розвитку виражених змін слуху.</w:t>
      </w:r>
    </w:p>
    <w:p w:rsidR="00475A01" w:rsidRDefault="00475A01" w:rsidP="003C1F5D">
      <w:pPr>
        <w:widowControl/>
        <w:rPr>
          <w:rFonts w:ascii="Times New Roman" w:eastAsia="Century Schoolbook" w:hAnsi="Times New Roman" w:cs="Times New Roman"/>
          <w:color w:val="auto"/>
        </w:rPr>
      </w:pPr>
    </w:p>
    <w:p w:rsidR="003C1F5D" w:rsidRDefault="003C1F5D" w:rsidP="003C1F5D">
      <w:pPr>
        <w:widowControl/>
        <w:rPr>
          <w:rFonts w:ascii="Times New Roman" w:eastAsia="Century Schoolbook" w:hAnsi="Times New Roman" w:cs="Times New Roman"/>
          <w:color w:val="auto"/>
        </w:rPr>
      </w:pPr>
    </w:p>
    <w:p w:rsidR="003C1F5D" w:rsidRPr="003C1F5D" w:rsidRDefault="003C1F5D" w:rsidP="003C1F5D">
      <w:pPr>
        <w:pStyle w:val="40"/>
        <w:shd w:val="clear" w:color="auto" w:fill="auto"/>
        <w:spacing w:after="108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C1F5D">
        <w:rPr>
          <w:rFonts w:ascii="Times New Roman" w:hAnsi="Times New Roman" w:cs="Times New Roman"/>
          <w:b/>
          <w:sz w:val="24"/>
          <w:szCs w:val="24"/>
        </w:rPr>
        <w:t>2. Порушення функції рівноваги у пацієнтів похилого віку.</w:t>
      </w:r>
    </w:p>
    <w:p w:rsidR="003C1F5D" w:rsidRDefault="003C1F5D" w:rsidP="003C1F5D">
      <w:pPr>
        <w:widowControl/>
        <w:rPr>
          <w:rFonts w:ascii="Times New Roman" w:eastAsia="Century Schoolbook" w:hAnsi="Times New Roman" w:cs="Times New Roman"/>
          <w:color w:val="auto"/>
        </w:rPr>
      </w:pPr>
    </w:p>
    <w:p w:rsidR="003C1F5D" w:rsidRDefault="003C1F5D" w:rsidP="003C1F5D">
      <w:pPr>
        <w:widowControl/>
        <w:rPr>
          <w:rFonts w:ascii="Times New Roman" w:eastAsia="Century Schoolbook" w:hAnsi="Times New Roman" w:cs="Times New Roman"/>
          <w:color w:val="auto"/>
        </w:rPr>
      </w:pP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Функція рівноваги — це здатність людини утримувати стій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ке вертикальне положення в стані спокою, при ходьбі і при ви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конанні інших рухів (нахили, присідання, танці, біг тощо). Цю функцію виконують вестибулярний апарат (периферійний) і центральні вестибулярні нервові шляхи.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У процесі розвитку в людини вдосконалився механізм під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тримки рівноваги, який залежить не тільки від вестибулярної, а й від зорової,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пропріоцептивної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і поверхнево-сенсорної інфор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мації.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Порушення рівноваги і запаморочення у геріатричних па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цієнтів — явища досить поширені. До 65 років ЗО % людей пе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ріодично відчувають запаморочення або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“галюцинації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руху”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, що є показником порушення вестибулярного апарату. З віком збільшується кількість хворих як з приглухуватістю, так і з за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памороченням. В основі вікових вестибулярних порушень ле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жать ті самі патологічні прояви, що і при віковій приглухува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тості (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пресбіакузисі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): сенсорний дефіцит, зменшення кількості функціонуючих нейронів, метаболічні розлади через судинні зміни, механічні дефекти (порушення еластичності, дегенерації мембран і т. д.). Окрім вікового старіння вестибулярного аналі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затора існує багато ендогенних і екзогенних чинників, що поси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люють прояви вестибулярної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дисфункції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.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Різноманіття вікових дегенеративних змін може призвести до симптоматичних порушень складного механізму підтриман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ня рівноваги. Найпоширенішою патологією в розвитку пору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шень рівноваги є ураження судин (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атеро-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і артеріосклероз, вас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куліти, діабетичні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ангіопатії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тощо), дегенеративні зміни ЦНС, шийний остеохондроз.</w:t>
      </w:r>
    </w:p>
    <w:p w:rsidR="003C1F5D" w:rsidRPr="003C1F5D" w:rsidRDefault="003C1F5D" w:rsidP="003C1F5D">
      <w:pPr>
        <w:pStyle w:val="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Існує чотири типи вестибулярних порушень, три з яких зу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мовлені патологічними змінами у вестибулярному сенсорному органі — півколових протоках і мішечках присінка. Лише один тип пов’язаний з ураженням вестибулярних нервових шляхів. Зміни можуть бути ізольованими або, частіше, змішаними.</w:t>
      </w:r>
    </w:p>
    <w:p w:rsidR="003C1F5D" w:rsidRPr="003C1F5D" w:rsidRDefault="003C1F5D" w:rsidP="003C1F5D">
      <w:pPr>
        <w:widowControl/>
        <w:rPr>
          <w:rFonts w:ascii="Times New Roman" w:eastAsia="Century Schoolbook" w:hAnsi="Times New Roman" w:cs="Times New Roman"/>
          <w:color w:val="auto"/>
        </w:rPr>
        <w:sectPr w:rsidR="003C1F5D" w:rsidRPr="003C1F5D">
          <w:pgSz w:w="11909" w:h="16834"/>
          <w:pgMar w:top="1134" w:right="567" w:bottom="1134" w:left="1134" w:header="0" w:footer="3" w:gutter="103"/>
          <w:cols w:space="720"/>
        </w:sect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Перший тип</w:t>
      </w:r>
      <w:r w:rsidRPr="003C1F5D">
        <w:rPr>
          <w:rFonts w:ascii="Times New Roman" w:hAnsi="Times New Roman" w:cs="Times New Roman"/>
        </w:rPr>
        <w:t xml:space="preserve"> вестибулярних порушень — </w:t>
      </w:r>
      <w:proofErr w:type="spellStart"/>
      <w:r w:rsidRPr="003C1F5D">
        <w:rPr>
          <w:rStyle w:val="a4"/>
          <w:rFonts w:ascii="Times New Roman" w:hAnsi="Times New Roman" w:cs="Times New Roman"/>
          <w:sz w:val="24"/>
          <w:szCs w:val="24"/>
        </w:rPr>
        <w:t>купулолітіази</w:t>
      </w:r>
      <w:proofErr w:type="spellEnd"/>
      <w:r w:rsidRPr="003C1F5D">
        <w:rPr>
          <w:rFonts w:ascii="Times New Roman" w:hAnsi="Times New Roman" w:cs="Times New Roman"/>
        </w:rPr>
        <w:t xml:space="preserve"> — ураження вестибулярного апарату, що супроводжується корот</w:t>
      </w:r>
      <w:r w:rsidRPr="003C1F5D">
        <w:rPr>
          <w:rFonts w:ascii="Times New Roman" w:hAnsi="Times New Roman" w:cs="Times New Roman"/>
        </w:rPr>
        <w:softHyphen/>
        <w:t>кочасним запамороченням, пов’язаним із визначеним положен</w:t>
      </w:r>
      <w:r w:rsidRPr="003C1F5D">
        <w:rPr>
          <w:rFonts w:ascii="Times New Roman" w:hAnsi="Times New Roman" w:cs="Times New Roman"/>
        </w:rPr>
        <w:softHyphen/>
        <w:t>ням голови. Виникає через утворення неорганічних утворень на куполі задньої півколової протоки, яка стає чутливою до граві</w:t>
      </w:r>
      <w:r w:rsidRPr="003C1F5D">
        <w:rPr>
          <w:rFonts w:ascii="Times New Roman" w:hAnsi="Times New Roman" w:cs="Times New Roman"/>
        </w:rPr>
        <w:softHyphen/>
        <w:t>таційної сили і тому реагує на зміни положення голови. У па</w:t>
      </w:r>
      <w:r w:rsidRPr="003C1F5D">
        <w:rPr>
          <w:rFonts w:ascii="Times New Roman" w:hAnsi="Times New Roman" w:cs="Times New Roman"/>
        </w:rPr>
        <w:softHyphen/>
        <w:t>цієнтів виникає раптове запаморочення, яке можуть відчувати при перевертанні в ліжку з одного боку на інший, при різкому повороті голови справа наліво (або зліва направо) чи при витя</w:t>
      </w:r>
      <w:r w:rsidRPr="003C1F5D">
        <w:rPr>
          <w:rFonts w:ascii="Times New Roman" w:hAnsi="Times New Roman" w:cs="Times New Roman"/>
        </w:rPr>
        <w:softHyphen/>
        <w:t>гуванні шиї вгору і т. д. Характерні тяжкі суб’єктивні пору</w:t>
      </w:r>
      <w:r w:rsidRPr="003C1F5D">
        <w:rPr>
          <w:rFonts w:ascii="Times New Roman" w:hAnsi="Times New Roman" w:cs="Times New Roman"/>
        </w:rPr>
        <w:softHyphen/>
        <w:t xml:space="preserve">шення </w:t>
      </w:r>
      <w:r>
        <w:rPr>
          <w:rFonts w:ascii="Times New Roman" w:hAnsi="Times New Roman" w:cs="Times New Roman"/>
        </w:rPr>
        <w:t>р</w:t>
      </w:r>
      <w:r w:rsidRPr="003C1F5D">
        <w:rPr>
          <w:rFonts w:ascii="Times New Roman" w:hAnsi="Times New Roman" w:cs="Times New Roman"/>
        </w:rPr>
        <w:t>івноваги. Пацієнти похилого віку легко можуть впасти, якщо м’язи слабкі або немає за що триматися, у багатьох мож</w:t>
      </w:r>
      <w:r w:rsidRPr="003C1F5D">
        <w:rPr>
          <w:rFonts w:ascii="Times New Roman" w:hAnsi="Times New Roman" w:cs="Times New Roman"/>
        </w:rPr>
        <w:softHyphen/>
        <w:t>ливі нудота, блювання. Відчуття запаморочення зазвичай триває 5—10 с, якщо його не провокувати швидким рухом голови</w:t>
      </w:r>
      <w:r>
        <w:rPr>
          <w:rFonts w:ascii="Times New Roman" w:hAnsi="Times New Roman" w:cs="Times New Roman"/>
        </w:rPr>
        <w:t>, а</w:t>
      </w:r>
      <w:r w:rsidRPr="003C1F5D">
        <w:rPr>
          <w:rFonts w:ascii="Times New Roman" w:hAnsi="Times New Roman" w:cs="Times New Roman"/>
        </w:rPr>
        <w:t xml:space="preserve"> </w:t>
      </w:r>
      <w:r w:rsidRPr="003C1F5D">
        <w:rPr>
          <w:rFonts w:ascii="Times New Roman" w:hAnsi="Times New Roman" w:cs="Times New Roman"/>
        </w:rPr>
        <w:softHyphen/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lastRenderedPageBreak/>
        <w:t>повільний поворот, то запаморочення буде слабким.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Причинами можуть бути травма голови, операції на вусі, крововиливи, перенесений серозний лабіринтит. Жінки хво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ріють частіше, ніж чоловіки.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Другий тип</w:t>
      </w:r>
      <w:r w:rsidRPr="003C1F5D">
        <w:rPr>
          <w:rFonts w:ascii="Times New Roman" w:hAnsi="Times New Roman" w:cs="Times New Roman"/>
          <w:sz w:val="24"/>
          <w:szCs w:val="24"/>
        </w:rPr>
        <w:t xml:space="preserve"> вестибулярних порушень — так зване </w:t>
      </w:r>
      <w:proofErr w:type="spellStart"/>
      <w:r w:rsidR="009F39E4">
        <w:rPr>
          <w:rStyle w:val="a4"/>
          <w:rFonts w:ascii="Times New Roman" w:hAnsi="Times New Roman" w:cs="Times New Roman"/>
          <w:sz w:val="24"/>
          <w:szCs w:val="24"/>
        </w:rPr>
        <w:t>купуляр</w:t>
      </w:r>
      <w:r w:rsidRPr="003C1F5D">
        <w:rPr>
          <w:rStyle w:val="a4"/>
          <w:rFonts w:ascii="Times New Roman" w:hAnsi="Times New Roman" w:cs="Times New Roman"/>
          <w:sz w:val="24"/>
          <w:szCs w:val="24"/>
        </w:rPr>
        <w:t>не</w:t>
      </w:r>
      <w:proofErr w:type="spellEnd"/>
      <w:r w:rsidRPr="003C1F5D">
        <w:rPr>
          <w:rStyle w:val="a4"/>
          <w:rFonts w:ascii="Times New Roman" w:hAnsi="Times New Roman" w:cs="Times New Roman"/>
          <w:sz w:val="24"/>
          <w:szCs w:val="24"/>
        </w:rPr>
        <w:t xml:space="preserve"> запаморочення,</w:t>
      </w:r>
      <w:r w:rsidRPr="003C1F5D">
        <w:rPr>
          <w:rFonts w:ascii="Times New Roman" w:hAnsi="Times New Roman" w:cs="Times New Roman"/>
          <w:sz w:val="24"/>
          <w:szCs w:val="24"/>
        </w:rPr>
        <w:t xml:space="preserve"> що виникає внаслідок дегенерації сенсор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ного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купулярного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епітелію. Проявляється короткочасним запа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мороченням при кутовому переміщенні голови (наприклад, різ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кий поворот голови направо чи наліво). Хоч запаморочення і буває короткочасним, після нього протягом декількох годин у пацієнта зберігається відчуття нестійкості.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Третій тип</w:t>
      </w:r>
      <w:r w:rsidRPr="003C1F5D">
        <w:rPr>
          <w:rFonts w:ascii="Times New Roman" w:hAnsi="Times New Roman" w:cs="Times New Roman"/>
          <w:sz w:val="24"/>
          <w:szCs w:val="24"/>
        </w:rPr>
        <w:t xml:space="preserve"> нестійкості пацієнтів похилого віку — </w:t>
      </w:r>
      <w:proofErr w:type="spellStart"/>
      <w:r w:rsidR="009F39E4">
        <w:rPr>
          <w:rStyle w:val="a4"/>
          <w:rFonts w:ascii="Times New Roman" w:hAnsi="Times New Roman" w:cs="Times New Roman"/>
          <w:sz w:val="24"/>
          <w:szCs w:val="24"/>
        </w:rPr>
        <w:t>макуляр</w:t>
      </w:r>
      <w:r w:rsidRPr="003C1F5D">
        <w:rPr>
          <w:rStyle w:val="a4"/>
          <w:rFonts w:ascii="Times New Roman" w:hAnsi="Times New Roman" w:cs="Times New Roman"/>
          <w:sz w:val="24"/>
          <w:szCs w:val="24"/>
        </w:rPr>
        <w:t>не</w:t>
      </w:r>
      <w:proofErr w:type="spellEnd"/>
      <w:r w:rsidRPr="003C1F5D">
        <w:rPr>
          <w:rStyle w:val="a4"/>
          <w:rFonts w:ascii="Times New Roman" w:hAnsi="Times New Roman" w:cs="Times New Roman"/>
          <w:sz w:val="24"/>
          <w:szCs w:val="24"/>
        </w:rPr>
        <w:t xml:space="preserve"> запаморочення</w:t>
      </w:r>
      <w:r w:rsidRPr="003C1F5D">
        <w:rPr>
          <w:rFonts w:ascii="Times New Roman" w:hAnsi="Times New Roman" w:cs="Times New Roman"/>
          <w:sz w:val="24"/>
          <w:szCs w:val="24"/>
        </w:rPr>
        <w:t xml:space="preserve"> — характеризується запамороченням при раптовій зміні положення голови в напрямку до сили гравіта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ції, наприклад, при переході з положення лежачи в положення сидячи. При ходьбі такі пацієнти тримаються за стіну, голова зафіксована прямо або з легким нахилом в один бік. Така нестійкість у пацієнтів похилого віку може бути зумовлена де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генеративними змінами отолітової мембрани в сенсорному епі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телії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макул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одного або обох мішечків.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Четвертий тип</w:t>
      </w:r>
      <w:r w:rsidRPr="003C1F5D">
        <w:rPr>
          <w:rFonts w:ascii="Times New Roman" w:hAnsi="Times New Roman" w:cs="Times New Roman"/>
          <w:sz w:val="24"/>
          <w:szCs w:val="24"/>
        </w:rPr>
        <w:t xml:space="preserve"> вестибулярних розладів — </w:t>
      </w:r>
      <w:r w:rsidRPr="003C1F5D">
        <w:rPr>
          <w:rStyle w:val="a4"/>
          <w:rFonts w:ascii="Times New Roman" w:hAnsi="Times New Roman" w:cs="Times New Roman"/>
          <w:sz w:val="24"/>
          <w:szCs w:val="24"/>
        </w:rPr>
        <w:t>вестибулярна атаксія,</w:t>
      </w:r>
      <w:r w:rsidRPr="003C1F5D">
        <w:rPr>
          <w:rFonts w:ascii="Times New Roman" w:hAnsi="Times New Roman" w:cs="Times New Roman"/>
          <w:sz w:val="24"/>
          <w:szCs w:val="24"/>
        </w:rPr>
        <w:t xml:space="preserve"> що проявляється майже постійним порушенням рів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новаги.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Style w:val="a4"/>
          <w:rFonts w:ascii="Times New Roman" w:hAnsi="Times New Roman" w:cs="Times New Roman"/>
          <w:sz w:val="24"/>
          <w:szCs w:val="24"/>
        </w:rPr>
        <w:t>Лікування</w:t>
      </w:r>
      <w:r w:rsidRPr="003C1F5D">
        <w:rPr>
          <w:rFonts w:ascii="Times New Roman" w:hAnsi="Times New Roman" w:cs="Times New Roman"/>
          <w:sz w:val="24"/>
          <w:szCs w:val="24"/>
        </w:rPr>
        <w:t xml:space="preserve"> вестибулярних розладів у пацієнтів похилого віку включає насамперед лікування супутньої патології і призначен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ня засобів, що нормалізують вестибулярний дисбаланс. Реко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мендують вітаміни (В</w:t>
      </w:r>
      <w:r w:rsidRPr="003C1F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C1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В</w:t>
      </w:r>
      <w:r w:rsidRPr="003C1F5D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, В</w:t>
      </w:r>
      <w:r w:rsidRPr="003C1F5D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3C1F5D">
        <w:rPr>
          <w:rFonts w:ascii="Times New Roman" w:hAnsi="Times New Roman" w:cs="Times New Roman"/>
          <w:sz w:val="24"/>
          <w:szCs w:val="24"/>
        </w:rPr>
        <w:t>, А, Е, нікотинова кислота) в ін’єкціях і драже, судинні препарати (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кавінтон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компламін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, папаверин,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стугерон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актовегін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та ін.), засоби, що стимулюють обмінні процеси (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ноотропіл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есенціале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форте, препарати йоду, апілак, женьшень, біогенні стимулятори, гормони тощо), седа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тивні,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дезінтоксикаційні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препарати, а також препарати, що по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силюють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кровотік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у лабіринті (декстрини, манітол), антикоагу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лянти,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антиагреганти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трентал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), оксигенотерапію, інколи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плаз-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маферез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.</w:t>
      </w:r>
    </w:p>
    <w:p w:rsidR="00475A01" w:rsidRPr="003C1F5D" w:rsidRDefault="00475A01" w:rsidP="003C1F5D">
      <w:pPr>
        <w:pStyle w:val="1"/>
        <w:shd w:val="clear" w:color="auto" w:fill="auto"/>
        <w:spacing w:before="0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 xml:space="preserve">Корисні масаж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комірцевої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зони,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рефлексотерапія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>, електрофо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рез кальцію хлориду, новокаїну, калію йодиду, ін’єкції корти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костероїдів у ділянку болючих точок шиї, лікувальна гімнасти</w:t>
      </w:r>
      <w:r w:rsidRPr="003C1F5D">
        <w:rPr>
          <w:rFonts w:ascii="Times New Roman" w:hAnsi="Times New Roman" w:cs="Times New Roman"/>
          <w:sz w:val="24"/>
          <w:szCs w:val="24"/>
        </w:rPr>
        <w:softHyphen/>
        <w:t xml:space="preserve">ка. Між курсами лікування корисні </w:t>
      </w:r>
      <w:proofErr w:type="spellStart"/>
      <w:r w:rsidRPr="003C1F5D">
        <w:rPr>
          <w:rFonts w:ascii="Times New Roman" w:hAnsi="Times New Roman" w:cs="Times New Roman"/>
          <w:sz w:val="24"/>
          <w:szCs w:val="24"/>
        </w:rPr>
        <w:t>родонові</w:t>
      </w:r>
      <w:proofErr w:type="spellEnd"/>
      <w:r w:rsidRPr="003C1F5D">
        <w:rPr>
          <w:rFonts w:ascii="Times New Roman" w:hAnsi="Times New Roman" w:cs="Times New Roman"/>
          <w:sz w:val="24"/>
          <w:szCs w:val="24"/>
        </w:rPr>
        <w:t xml:space="preserve"> сірководневі ванни. ЛФК, санаторно-курортне лікування у високогірних районах.</w:t>
      </w:r>
    </w:p>
    <w:p w:rsidR="00475A01" w:rsidRPr="003C1F5D" w:rsidRDefault="00475A01" w:rsidP="003C1F5D">
      <w:pPr>
        <w:pStyle w:val="1"/>
        <w:shd w:val="clear" w:color="auto" w:fill="auto"/>
        <w:spacing w:before="0" w:after="65" w:line="240" w:lineRule="auto"/>
        <w:ind w:left="20" w:right="40" w:firstLine="300"/>
        <w:rPr>
          <w:rFonts w:ascii="Times New Roman" w:hAnsi="Times New Roman" w:cs="Times New Roman"/>
          <w:sz w:val="24"/>
          <w:szCs w:val="24"/>
        </w:rPr>
      </w:pPr>
      <w:r w:rsidRPr="003C1F5D">
        <w:rPr>
          <w:rFonts w:ascii="Times New Roman" w:hAnsi="Times New Roman" w:cs="Times New Roman"/>
          <w:sz w:val="24"/>
          <w:szCs w:val="24"/>
        </w:rPr>
        <w:t>Увесь цей складний комплекс лікування потрібно признача</w:t>
      </w:r>
      <w:r w:rsidRPr="003C1F5D">
        <w:rPr>
          <w:rFonts w:ascii="Times New Roman" w:hAnsi="Times New Roman" w:cs="Times New Roman"/>
          <w:sz w:val="24"/>
          <w:szCs w:val="24"/>
        </w:rPr>
        <w:softHyphen/>
        <w:t>ти послідовно, враховуючи наявність показань і протипоказань.</w:t>
      </w:r>
    </w:p>
    <w:p w:rsidR="00475A01" w:rsidRPr="003C1F5D" w:rsidRDefault="00475A01" w:rsidP="003C1F5D">
      <w:pPr>
        <w:rPr>
          <w:rFonts w:ascii="Times New Roman" w:hAnsi="Times New Roman" w:cs="Times New Roman"/>
        </w:rPr>
      </w:pPr>
    </w:p>
    <w:p w:rsidR="007F0511" w:rsidRPr="003C1F5D" w:rsidRDefault="007F0511" w:rsidP="003C1F5D">
      <w:pPr>
        <w:rPr>
          <w:rFonts w:ascii="Times New Roman" w:hAnsi="Times New Roman" w:cs="Times New Roman"/>
        </w:rPr>
      </w:pPr>
    </w:p>
    <w:sectPr w:rsidR="007F0511" w:rsidRPr="003C1F5D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407E9"/>
    <w:multiLevelType w:val="multilevel"/>
    <w:tmpl w:val="2B968582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475A01"/>
    <w:rsid w:val="00093E95"/>
    <w:rsid w:val="00183F01"/>
    <w:rsid w:val="001F3772"/>
    <w:rsid w:val="002A0345"/>
    <w:rsid w:val="002E2CC2"/>
    <w:rsid w:val="0031208E"/>
    <w:rsid w:val="003206F8"/>
    <w:rsid w:val="00357F6A"/>
    <w:rsid w:val="003957AB"/>
    <w:rsid w:val="003C1F5D"/>
    <w:rsid w:val="003D66AE"/>
    <w:rsid w:val="00401897"/>
    <w:rsid w:val="00475A01"/>
    <w:rsid w:val="004826BA"/>
    <w:rsid w:val="004918AB"/>
    <w:rsid w:val="00556427"/>
    <w:rsid w:val="005D6FDA"/>
    <w:rsid w:val="005F36D3"/>
    <w:rsid w:val="00636AC5"/>
    <w:rsid w:val="006C043E"/>
    <w:rsid w:val="006F2C24"/>
    <w:rsid w:val="00763572"/>
    <w:rsid w:val="007B4ACB"/>
    <w:rsid w:val="007D5A1A"/>
    <w:rsid w:val="007F0511"/>
    <w:rsid w:val="008A2189"/>
    <w:rsid w:val="00913EFB"/>
    <w:rsid w:val="009D75CF"/>
    <w:rsid w:val="009F39E4"/>
    <w:rsid w:val="00A157D9"/>
    <w:rsid w:val="00A15EBC"/>
    <w:rsid w:val="00AD0F1D"/>
    <w:rsid w:val="00AE0824"/>
    <w:rsid w:val="00D27EC5"/>
    <w:rsid w:val="00E629B7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01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5A0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475A01"/>
    <w:pPr>
      <w:shd w:val="clear" w:color="auto" w:fill="FFFFFF"/>
      <w:spacing w:before="240" w:line="240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475A01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75A01"/>
    <w:pPr>
      <w:shd w:val="clear" w:color="auto" w:fill="FFFFFF"/>
      <w:spacing w:after="6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eastAsia="en-US" w:bidi="ar-SA"/>
    </w:rPr>
  </w:style>
  <w:style w:type="character" w:customStyle="1" w:styleId="a4">
    <w:name w:val="Основной текст + Курсив"/>
    <w:basedOn w:val="a3"/>
    <w:rsid w:val="00475A01"/>
    <w:rPr>
      <w:i/>
      <w:iCs/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6178</Words>
  <Characters>3523</Characters>
  <Application>Microsoft Office Word</Application>
  <DocSecurity>0</DocSecurity>
  <Lines>29</Lines>
  <Paragraphs>19</Paragraphs>
  <ScaleCrop>false</ScaleCrop>
  <Company/>
  <LinksUpToDate>false</LinksUpToDate>
  <CharactersWithSpaces>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8</cp:revision>
  <dcterms:created xsi:type="dcterms:W3CDTF">2016-01-14T11:19:00Z</dcterms:created>
  <dcterms:modified xsi:type="dcterms:W3CDTF">2016-01-17T10:58:00Z</dcterms:modified>
</cp:coreProperties>
</file>