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3D" w:rsidRDefault="0040293D" w:rsidP="0040293D">
      <w:pPr>
        <w:pStyle w:val="a3"/>
      </w:pPr>
      <w:proofErr w:type="gramStart"/>
      <w:smartTag w:uri="urn:schemas-microsoft-com:office:smarttags" w:element="place">
        <w:r w:rsidRPr="00A32ADF">
          <w:rPr>
            <w:b/>
            <w:lang w:val="en-US"/>
          </w:rPr>
          <w:t>I</w:t>
        </w:r>
        <w:r w:rsidRPr="00A32ADF">
          <w:rPr>
            <w:b/>
          </w:rPr>
          <w:t>.</w:t>
        </w:r>
      </w:smartTag>
      <w:r>
        <w:t> Над обрієм дотліла і згасла сонячна заграва.</w:t>
      </w:r>
      <w:proofErr w:type="gramEnd"/>
      <w:r>
        <w:t xml:space="preserve"> Наступила та передвечірня пора, коли повітря стає </w:t>
      </w:r>
      <w:proofErr w:type="spellStart"/>
      <w:r>
        <w:t>джерельно</w:t>
      </w:r>
      <w:proofErr w:type="spellEnd"/>
      <w:r>
        <w:t xml:space="preserve">-прозорим і навіть якісь непомітні досі тоненькі </w:t>
      </w:r>
      <w:r w:rsidRPr="00BF7B05">
        <w:t>дубчики</w:t>
      </w:r>
      <w:r>
        <w:t xml:space="preserve">, що там і сям стриміли у заплавах, набрали соковитих контурів і непорушно відбилися на воді, створюючи враження бездонної глибочини. Роса потягла з вологих трав густий дух вимороженої бодяги, в’ялої бугили і пожухлого мокрого сіна, що позалишалося в кущах по торішній косовиці. </w:t>
      </w:r>
    </w:p>
    <w:p w:rsidR="0040293D" w:rsidRDefault="0040293D" w:rsidP="0040293D">
      <w:pPr>
        <w:pStyle w:val="a3"/>
      </w:pPr>
      <w:r>
        <w:t xml:space="preserve">Пахла чорна земля на пагорбах між заплавами </w:t>
      </w:r>
      <w:r w:rsidRPr="00FD56E7">
        <w:t>–</w:t>
      </w:r>
      <w:r>
        <w:t xml:space="preserve"> пахла весняною жагою родити і вимерлими травами, трухлим сухостоєм і молодим пагіллям </w:t>
      </w:r>
      <w:r w:rsidRPr="00FD56E7">
        <w:t>–</w:t>
      </w:r>
      <w:r>
        <w:t xml:space="preserve"> пахла вічністю і скороминучою порою... (</w:t>
      </w:r>
      <w:r w:rsidRPr="00517975">
        <w:rPr>
          <w:i/>
        </w:rPr>
        <w:t>Григір Тютюнник</w:t>
      </w:r>
      <w:r>
        <w:t>).</w:t>
      </w:r>
    </w:p>
    <w:p w:rsidR="0040293D" w:rsidRPr="00824FA6" w:rsidRDefault="0040293D" w:rsidP="0040293D">
      <w:pPr>
        <w:pStyle w:val="a3"/>
        <w:rPr>
          <w:sz w:val="16"/>
          <w:szCs w:val="16"/>
        </w:rPr>
      </w:pPr>
    </w:p>
    <w:p w:rsidR="0040293D" w:rsidRDefault="0040293D" w:rsidP="0040293D">
      <w:pPr>
        <w:pStyle w:val="a3"/>
      </w:pPr>
      <w:r w:rsidRPr="00A32ADF">
        <w:rPr>
          <w:b/>
          <w:lang w:val="en-US"/>
        </w:rPr>
        <w:t>II</w:t>
      </w:r>
      <w:r w:rsidRPr="00A32ADF">
        <w:rPr>
          <w:b/>
        </w:rPr>
        <w:t>.</w:t>
      </w:r>
      <w:r>
        <w:t xml:space="preserve"> Парадигматичні відношення можна визначити як реально існуючі в </w:t>
      </w:r>
      <w:proofErr w:type="spellStart"/>
      <w:r>
        <w:t>мовній</w:t>
      </w:r>
      <w:proofErr w:type="spellEnd"/>
      <w:r>
        <w:t xml:space="preserve"> системі відношення, що реалізують інваріант релевантних одиниць. Як відзначає Л. </w:t>
      </w:r>
      <w:proofErr w:type="spellStart"/>
      <w:r>
        <w:t>Єльмслєв</w:t>
      </w:r>
      <w:proofErr w:type="spellEnd"/>
      <w:r>
        <w:t xml:space="preserve">, „мова може бути визначена як парадигматика, чиї парадигми </w:t>
      </w:r>
      <w:proofErr w:type="spellStart"/>
      <w:r>
        <w:t>маніфестуються</w:t>
      </w:r>
      <w:proofErr w:type="spellEnd"/>
      <w:r>
        <w:t xml:space="preserve"> будь-яким матеріалом” </w:t>
      </w:r>
      <w:r w:rsidRPr="00982FB9">
        <w:rPr>
          <w:lang w:val="ru-RU"/>
        </w:rPr>
        <w:t>[</w:t>
      </w:r>
      <w:r>
        <w:t>14: 364</w:t>
      </w:r>
      <w:r w:rsidRPr="00982FB9">
        <w:rPr>
          <w:lang w:val="ru-RU"/>
        </w:rPr>
        <w:t>]</w:t>
      </w:r>
      <w:r>
        <w:t xml:space="preserve">. За такого широкого розуміння парадигми, у яку входять усі регулярно існуючі в системі мови видозміни речення, доцільно виділити й комунікативну парадигму, яка ґрунтується на комплексній категорії настанови. Ця категорія є своєрідною </w:t>
      </w:r>
      <w:proofErr w:type="spellStart"/>
      <w:r>
        <w:t>відображувально</w:t>
      </w:r>
      <w:proofErr w:type="spellEnd"/>
      <w:r>
        <w:t>-комунікативною комплексною кате</w:t>
      </w:r>
      <w:r>
        <w:softHyphen/>
        <w:t xml:space="preserve">горією з п’ятьма основними комунікативними </w:t>
      </w:r>
      <w:proofErr w:type="spellStart"/>
      <w:r>
        <w:t>підкатегорійними</w:t>
      </w:r>
      <w:proofErr w:type="spellEnd"/>
      <w:r>
        <w:t xml:space="preserve"> значеннями: розповідності, </w:t>
      </w:r>
      <w:proofErr w:type="spellStart"/>
      <w:r>
        <w:t>питальності</w:t>
      </w:r>
      <w:proofErr w:type="spellEnd"/>
      <w:r>
        <w:t xml:space="preserve">, </w:t>
      </w:r>
      <w:proofErr w:type="spellStart"/>
      <w:r>
        <w:t>спонукальності</w:t>
      </w:r>
      <w:proofErr w:type="spellEnd"/>
      <w:r>
        <w:t xml:space="preserve">, </w:t>
      </w:r>
      <w:proofErr w:type="spellStart"/>
      <w:r>
        <w:t>оптатив</w:t>
      </w:r>
      <w:r>
        <w:softHyphen/>
        <w:t>ності</w:t>
      </w:r>
      <w:proofErr w:type="spellEnd"/>
      <w:r>
        <w:t xml:space="preserve"> й умовності. Через що виділяємо п’ять форм комунікативних парадигм речення: розповідну, питальну, спонукальну, </w:t>
      </w:r>
      <w:proofErr w:type="spellStart"/>
      <w:r>
        <w:t>оптативну</w:t>
      </w:r>
      <w:proofErr w:type="spellEnd"/>
      <w:r>
        <w:t xml:space="preserve"> й умовну </w:t>
      </w:r>
      <w:r w:rsidRPr="00982FB9">
        <w:rPr>
          <w:lang w:val="ru-RU"/>
        </w:rPr>
        <w:t>[</w:t>
      </w:r>
      <w:r>
        <w:t>15: 61</w:t>
      </w:r>
      <w:r w:rsidRPr="00FD56E7">
        <w:t>–</w:t>
      </w:r>
      <w:r>
        <w:t>62</w:t>
      </w:r>
      <w:r w:rsidRPr="00982FB9">
        <w:rPr>
          <w:lang w:val="ru-RU"/>
        </w:rPr>
        <w:t>]</w:t>
      </w:r>
      <w:r>
        <w:t>.</w:t>
      </w:r>
    </w:p>
    <w:p w:rsidR="0040293D" w:rsidRDefault="0040293D" w:rsidP="0040293D">
      <w:pPr>
        <w:pStyle w:val="a3"/>
      </w:pPr>
      <w:r>
        <w:t>Отже, поняття парадигми повинно пов’язуватися з усіма аспектами речення й відповідними для кожного аспекту синтаксичними категоріями (</w:t>
      </w:r>
      <w:r w:rsidRPr="00517975">
        <w:rPr>
          <w:i/>
        </w:rPr>
        <w:t>М. </w:t>
      </w:r>
      <w:proofErr w:type="spellStart"/>
      <w:r w:rsidRPr="00517975">
        <w:rPr>
          <w:i/>
        </w:rPr>
        <w:t>Мірченко</w:t>
      </w:r>
      <w:proofErr w:type="spellEnd"/>
      <w:r>
        <w:t>).</w:t>
      </w:r>
    </w:p>
    <w:p w:rsidR="0040293D" w:rsidRPr="00824FA6" w:rsidRDefault="0040293D" w:rsidP="0040293D">
      <w:pPr>
        <w:pStyle w:val="a3"/>
        <w:rPr>
          <w:sz w:val="16"/>
          <w:szCs w:val="16"/>
        </w:rPr>
      </w:pPr>
    </w:p>
    <w:p w:rsidR="0040293D" w:rsidRDefault="0040293D" w:rsidP="0040293D">
      <w:pPr>
        <w:pStyle w:val="a3"/>
      </w:pPr>
      <w:r w:rsidRPr="00A32ADF">
        <w:rPr>
          <w:b/>
          <w:lang w:val="en-US"/>
        </w:rPr>
        <w:t>III</w:t>
      </w:r>
      <w:r w:rsidRPr="00A32ADF">
        <w:rPr>
          <w:b/>
        </w:rPr>
        <w:t>.</w:t>
      </w:r>
      <w:r>
        <w:t xml:space="preserve"> Державними символами України є Державний Прапор України, Державний Герб України і Державний Гімн України. </w:t>
      </w:r>
    </w:p>
    <w:p w:rsidR="0040293D" w:rsidRDefault="0040293D" w:rsidP="0040293D">
      <w:pPr>
        <w:pStyle w:val="a3"/>
      </w:pPr>
      <w:r>
        <w:t xml:space="preserve">Державний Прапор України </w:t>
      </w:r>
      <w:r w:rsidRPr="00FD56E7">
        <w:t>–</w:t>
      </w:r>
      <w:r>
        <w:t xml:space="preserve"> стяг з двох рівновеликих горизонтальних смуг синього і жовтого кольорів. </w:t>
      </w:r>
    </w:p>
    <w:p w:rsidR="0040293D" w:rsidRDefault="0040293D" w:rsidP="0040293D">
      <w:pPr>
        <w:pStyle w:val="a3"/>
      </w:pPr>
      <w:r>
        <w:t xml:space="preserve">Великий Державний Герб України встановлюється з урахуванням малого Державного Герба України та герба Війська Запорізького законом, що приймається не менш як двома третинами від конституційного складу Верховної Ради України. </w:t>
      </w:r>
    </w:p>
    <w:p w:rsidR="0040293D" w:rsidRDefault="0040293D" w:rsidP="0040293D">
      <w:pPr>
        <w:pStyle w:val="a3"/>
      </w:pPr>
      <w:r>
        <w:lastRenderedPageBreak/>
        <w:t>Головним елементом великого Державного Герба України є Знак Княжої Держави Володимира Великого (малий Державний Герб України) (</w:t>
      </w:r>
      <w:r w:rsidRPr="00517975">
        <w:rPr>
          <w:i/>
        </w:rPr>
        <w:t>Конституція України</w:t>
      </w:r>
      <w:r>
        <w:t>).</w:t>
      </w:r>
    </w:p>
    <w:p w:rsidR="0040293D" w:rsidRPr="00824FA6" w:rsidRDefault="0040293D" w:rsidP="0040293D">
      <w:pPr>
        <w:pStyle w:val="a3"/>
        <w:rPr>
          <w:sz w:val="16"/>
          <w:szCs w:val="16"/>
        </w:rPr>
      </w:pPr>
    </w:p>
    <w:p w:rsidR="0040293D" w:rsidRDefault="0040293D" w:rsidP="0040293D">
      <w:pPr>
        <w:pStyle w:val="a3"/>
      </w:pPr>
      <w:r w:rsidRPr="00A32ADF">
        <w:rPr>
          <w:b/>
          <w:lang w:val="en-US"/>
        </w:rPr>
        <w:t>IV</w:t>
      </w:r>
      <w:r w:rsidRPr="00A32ADF">
        <w:rPr>
          <w:b/>
        </w:rPr>
        <w:t>.</w:t>
      </w:r>
      <w:r>
        <w:t> </w:t>
      </w:r>
      <w:r w:rsidRPr="00FD56E7">
        <w:t>–</w:t>
      </w:r>
      <w:r>
        <w:t xml:space="preserve"> Що ж ви думаєте дати за дочкою? </w:t>
      </w:r>
      <w:r w:rsidRPr="00FD56E7">
        <w:t>–</w:t>
      </w:r>
      <w:r>
        <w:t xml:space="preserve"> сказала просто </w:t>
      </w:r>
      <w:proofErr w:type="spellStart"/>
      <w:r>
        <w:t>Мельхиседекова</w:t>
      </w:r>
      <w:proofErr w:type="spellEnd"/>
      <w:r>
        <w:t xml:space="preserve"> жінка, Марта Тарасівна.</w:t>
      </w:r>
    </w:p>
    <w:p w:rsidR="0040293D" w:rsidRDefault="0040293D" w:rsidP="0040293D">
      <w:pPr>
        <w:pStyle w:val="a3"/>
      </w:pPr>
      <w:r>
        <w:t>Терлецький глянув на жінку й сказав: „Дамо сто карбованців”.</w:t>
      </w:r>
    </w:p>
    <w:p w:rsidR="0040293D" w:rsidRDefault="0040293D" w:rsidP="0040293D">
      <w:pPr>
        <w:pStyle w:val="a3"/>
      </w:pPr>
      <w:r w:rsidRPr="00FD56E7">
        <w:t>–</w:t>
      </w:r>
      <w:r>
        <w:t xml:space="preserve"> Сто карбованців гроші, то правда, </w:t>
      </w:r>
      <w:r w:rsidRPr="00FD56E7">
        <w:t>–</w:t>
      </w:r>
      <w:r>
        <w:t xml:space="preserve"> заторохтів отець </w:t>
      </w:r>
      <w:proofErr w:type="spellStart"/>
      <w:r>
        <w:t>Мельхиседек</w:t>
      </w:r>
      <w:proofErr w:type="spellEnd"/>
      <w:r>
        <w:t xml:space="preserve">, </w:t>
      </w:r>
      <w:r w:rsidRPr="00FD56E7">
        <w:t>–</w:t>
      </w:r>
      <w:r>
        <w:t xml:space="preserve"> але, сказати правду, не великі.</w:t>
      </w:r>
    </w:p>
    <w:p w:rsidR="0040293D" w:rsidRDefault="0040293D" w:rsidP="0040293D">
      <w:pPr>
        <w:pStyle w:val="a3"/>
      </w:pPr>
      <w:r w:rsidRPr="00FD56E7">
        <w:t>–</w:t>
      </w:r>
      <w:r>
        <w:t xml:space="preserve"> Авжеж не великі, </w:t>
      </w:r>
      <w:r w:rsidRPr="00FD56E7">
        <w:t>–</w:t>
      </w:r>
      <w:r>
        <w:t xml:space="preserve"> заторохтіла </w:t>
      </w:r>
      <w:proofErr w:type="spellStart"/>
      <w:r>
        <w:t>Мельхиседекова</w:t>
      </w:r>
      <w:proofErr w:type="spellEnd"/>
      <w:r>
        <w:t xml:space="preserve"> жінка. </w:t>
      </w:r>
      <w:r w:rsidRPr="00FD56E7">
        <w:t>–</w:t>
      </w:r>
      <w:r>
        <w:t xml:space="preserve"> Гроші грішми, але треба чогось і до грошей. На господарстві треба й корів, треба й волів, треба й возів, треба коней, треба й до коней. Треба миски й ложки, треба чогось і до ложки. І вже, господи, що то й казати! Ви самі, здоровенькі, знаєте, чого треба на господарстві, та ще й новому та молодому, часом необміркованому...</w:t>
      </w:r>
    </w:p>
    <w:p w:rsidR="0040293D" w:rsidRDefault="0040293D" w:rsidP="0040293D">
      <w:pPr>
        <w:pStyle w:val="a3"/>
      </w:pPr>
      <w:r w:rsidRPr="00FD56E7">
        <w:t>–</w:t>
      </w:r>
      <w:r>
        <w:t xml:space="preserve"> Подумаємо-погадаємо. В нас не одна дочка, самі знаєте, </w:t>
      </w:r>
      <w:r w:rsidRPr="00FD56E7">
        <w:t>–</w:t>
      </w:r>
      <w:r>
        <w:t xml:space="preserve"> сказав Терлецький.</w:t>
      </w:r>
    </w:p>
    <w:p w:rsidR="0040293D" w:rsidRDefault="0040293D" w:rsidP="0040293D">
      <w:pPr>
        <w:pStyle w:val="a3"/>
      </w:pPr>
      <w:r w:rsidRPr="00FD56E7">
        <w:t>–</w:t>
      </w:r>
      <w:r>
        <w:t xml:space="preserve"> Та й панщинних людей таки дайте дітям, </w:t>
      </w:r>
      <w:r w:rsidRPr="00FD56E7">
        <w:t>–</w:t>
      </w:r>
      <w:r>
        <w:t xml:space="preserve"> сказала сваха. </w:t>
      </w:r>
      <w:r w:rsidRPr="00FD56E7">
        <w:t>–</w:t>
      </w:r>
      <w:r>
        <w:t xml:space="preserve"> В вас таки багатенько людей. Дайте хоч одну сім’ю!</w:t>
      </w:r>
    </w:p>
    <w:p w:rsidR="0040293D" w:rsidRDefault="0040293D" w:rsidP="0040293D">
      <w:pPr>
        <w:pStyle w:val="a3"/>
      </w:pPr>
      <w:r w:rsidRPr="00FD56E7">
        <w:t>–</w:t>
      </w:r>
      <w:r>
        <w:t xml:space="preserve"> Де ті люди в мене? Чисто всі порозбігались, неначе їх якийсь нечистий </w:t>
      </w:r>
      <w:proofErr w:type="spellStart"/>
      <w:r>
        <w:t>києм</w:t>
      </w:r>
      <w:proofErr w:type="spellEnd"/>
      <w:r>
        <w:t xml:space="preserve"> порозганяв! Тільки й зосталась сама каліч: одна баба та горбата Килина, та там...</w:t>
      </w:r>
    </w:p>
    <w:p w:rsidR="0040293D" w:rsidRDefault="0040293D" w:rsidP="0040293D">
      <w:pPr>
        <w:pStyle w:val="a3"/>
      </w:pPr>
      <w:r w:rsidRPr="00FD56E7">
        <w:t>–</w:t>
      </w:r>
      <w:r>
        <w:t xml:space="preserve"> З тієї горбатої </w:t>
      </w:r>
      <w:r w:rsidRPr="00FD56E7">
        <w:t>–</w:t>
      </w:r>
      <w:r>
        <w:t xml:space="preserve"> роботи, як з цапа молока, </w:t>
      </w:r>
      <w:r w:rsidRPr="00FD56E7">
        <w:t>–</w:t>
      </w:r>
      <w:r>
        <w:t xml:space="preserve"> сказала сваха, </w:t>
      </w:r>
      <w:r w:rsidRPr="00FD56E7">
        <w:t>–</w:t>
      </w:r>
      <w:r>
        <w:t xml:space="preserve"> вона тільки хліба дурно збавлятиме. Дайте таки здоровеньких та міцненьких, бо міцний чоловік, як міцний горщик, не розкипить на жару.</w:t>
      </w:r>
    </w:p>
    <w:p w:rsidR="0040293D" w:rsidRDefault="0040293D" w:rsidP="0040293D">
      <w:pPr>
        <w:pStyle w:val="a3"/>
      </w:pPr>
      <w:r w:rsidRPr="00FD56E7">
        <w:t>–</w:t>
      </w:r>
      <w:r>
        <w:t xml:space="preserve"> Але ж все-таки Килина глядітиме дітей, буде за няньку, </w:t>
      </w:r>
      <w:r w:rsidRPr="00FD56E7">
        <w:t>–</w:t>
      </w:r>
      <w:r>
        <w:t xml:space="preserve"> сказала Терлецька. </w:t>
      </w:r>
      <w:r w:rsidRPr="00FD56E7">
        <w:t>–</w:t>
      </w:r>
      <w:r>
        <w:t xml:space="preserve"> Килину дамо, а більше людей не дамо.</w:t>
      </w:r>
    </w:p>
    <w:p w:rsidR="0040293D" w:rsidRDefault="0040293D" w:rsidP="0040293D">
      <w:pPr>
        <w:pStyle w:val="a3"/>
      </w:pPr>
      <w:r w:rsidRPr="00FD56E7">
        <w:t>–</w:t>
      </w:r>
      <w:r>
        <w:t xml:space="preserve"> І за Килину спасибі! Але прикиньте ще хоч бабу. Баба не багато заважить, а все-таки буде поміч в господарстві: хоч гуси та гусенята пастиме. Добра баба в хаті, як добра квочка: вона й дітей доглядить, і курчата добре висидить, і курчата добре вилупить, </w:t>
      </w:r>
      <w:r w:rsidRPr="00FD56E7">
        <w:t>–</w:t>
      </w:r>
      <w:r>
        <w:t xml:space="preserve"> тарабанила сваха, заплутуючись у думках (</w:t>
      </w:r>
      <w:r w:rsidRPr="00517975">
        <w:rPr>
          <w:i/>
        </w:rPr>
        <w:t>І. Нечуй-Левицький</w:t>
      </w:r>
      <w:r>
        <w:t>).</w:t>
      </w:r>
    </w:p>
    <w:p w:rsidR="0040293D" w:rsidRPr="00824FA6" w:rsidRDefault="0040293D" w:rsidP="0040293D">
      <w:pPr>
        <w:pStyle w:val="a3"/>
        <w:rPr>
          <w:sz w:val="16"/>
          <w:szCs w:val="16"/>
        </w:rPr>
      </w:pPr>
    </w:p>
    <w:p w:rsidR="0040293D" w:rsidRDefault="0040293D" w:rsidP="0040293D">
      <w:pPr>
        <w:pStyle w:val="a3"/>
      </w:pPr>
      <w:proofErr w:type="gramStart"/>
      <w:r w:rsidRPr="00A32ADF">
        <w:rPr>
          <w:b/>
          <w:lang w:val="en-US"/>
        </w:rPr>
        <w:t>V</w:t>
      </w:r>
      <w:r w:rsidRPr="00A32ADF">
        <w:rPr>
          <w:b/>
        </w:rPr>
        <w:t>.</w:t>
      </w:r>
      <w:r>
        <w:t> Християнин повинен пам’ятати, що перш ніж просити у Бога прощення, треба самому навчитися прощати.</w:t>
      </w:r>
      <w:proofErr w:type="gramEnd"/>
      <w:r>
        <w:t xml:space="preserve"> З якою совістю скажеш ти: „Отче наш, ... прости нам провини наші, як i ми прощаємо </w:t>
      </w:r>
      <w:r>
        <w:lastRenderedPageBreak/>
        <w:t xml:space="preserve">винуватцям нашим”? Або з яким усвідомленням промовиш: „Господи, помилуй”, коли сам не можеш милувати? </w:t>
      </w:r>
    </w:p>
    <w:p w:rsidR="0040293D" w:rsidRDefault="0040293D" w:rsidP="0040293D">
      <w:pPr>
        <w:pStyle w:val="a3"/>
      </w:pPr>
      <w:r>
        <w:t xml:space="preserve">З приводу такого духовного осліплення преподобний </w:t>
      </w:r>
      <w:proofErr w:type="spellStart"/>
      <w:r>
        <w:t>авва</w:t>
      </w:r>
      <w:proofErr w:type="spellEnd"/>
      <w:r>
        <w:t xml:space="preserve"> </w:t>
      </w:r>
      <w:proofErr w:type="spellStart"/>
      <w:r>
        <w:t>Iсайя</w:t>
      </w:r>
      <w:proofErr w:type="spellEnd"/>
      <w:r>
        <w:t xml:space="preserve"> говорить: „Марні молитви i подвиги людини, котра має в серці злобу на ближнього”. А інший великий подвижник благочестя святий </w:t>
      </w:r>
      <w:proofErr w:type="spellStart"/>
      <w:r>
        <w:t>Iсаак</w:t>
      </w:r>
      <w:proofErr w:type="spellEnd"/>
      <w:r>
        <w:t xml:space="preserve"> про марність молитви злопам’ятного вчить: „Молитва злопам’ятного </w:t>
      </w:r>
      <w:r w:rsidRPr="00FD56E7">
        <w:t>–</w:t>
      </w:r>
      <w:r>
        <w:t xml:space="preserve"> сівба на </w:t>
      </w:r>
      <w:proofErr w:type="spellStart"/>
      <w:r>
        <w:t>камені</w:t>
      </w:r>
      <w:proofErr w:type="spellEnd"/>
      <w:r>
        <w:t xml:space="preserve">... Бути злопам’ятним i молитися означає те саме, що сіяти на морі й очікувати жнив”. </w:t>
      </w:r>
    </w:p>
    <w:p w:rsidR="0040293D" w:rsidRDefault="0040293D" w:rsidP="0040293D">
      <w:pPr>
        <w:pStyle w:val="a3"/>
      </w:pPr>
      <w:r>
        <w:t xml:space="preserve">Який може бути піст, яке може бути свято там, де панують ворожнеча i злоба? Якщо християнин живе в розбраті з християнами, то яке може бути у нього єднання з Христом? </w:t>
      </w:r>
    </w:p>
    <w:p w:rsidR="0040293D" w:rsidRDefault="0040293D" w:rsidP="0040293D">
      <w:pPr>
        <w:pStyle w:val="a3"/>
      </w:pPr>
      <w:r>
        <w:t>Хто не може називатися миролюбною людиною, той не може іменуватися i сином Божим. А Господь сказав: „Блаженні миротворці, бо вони синами Божими назвуться” (</w:t>
      </w:r>
      <w:proofErr w:type="spellStart"/>
      <w:r>
        <w:t>Мф</w:t>
      </w:r>
      <w:proofErr w:type="spellEnd"/>
      <w:r>
        <w:t>. 5, 9). Правду кажучи, там, де немає миру, там немає i Бога</w:t>
      </w:r>
      <w:r w:rsidRPr="00982FB9">
        <w:rPr>
          <w:lang w:val="ru-RU"/>
        </w:rPr>
        <w:t xml:space="preserve"> (</w:t>
      </w:r>
      <w:proofErr w:type="spellStart"/>
      <w:r w:rsidRPr="00517975">
        <w:rPr>
          <w:rStyle w:val="a5"/>
          <w:b w:val="0"/>
          <w:i/>
        </w:rPr>
        <w:t>Святійший</w:t>
      </w:r>
      <w:proofErr w:type="spellEnd"/>
      <w:r w:rsidRPr="00517975">
        <w:rPr>
          <w:rStyle w:val="a5"/>
          <w:b w:val="0"/>
          <w:i/>
        </w:rPr>
        <w:t xml:space="preserve"> Патріарх Київський і всієї Руси-України Філарет</w:t>
      </w:r>
      <w:r w:rsidRPr="00982FB9">
        <w:rPr>
          <w:lang w:val="ru-RU"/>
        </w:rPr>
        <w:t>)</w:t>
      </w:r>
      <w:r>
        <w:t xml:space="preserve">. </w:t>
      </w:r>
    </w:p>
    <w:p w:rsidR="0040293D" w:rsidRPr="00824FA6" w:rsidRDefault="0040293D" w:rsidP="0040293D">
      <w:pPr>
        <w:pStyle w:val="a3"/>
        <w:rPr>
          <w:sz w:val="16"/>
          <w:szCs w:val="16"/>
        </w:rPr>
      </w:pPr>
    </w:p>
    <w:p w:rsidR="0040293D" w:rsidRDefault="0040293D" w:rsidP="0040293D">
      <w:pPr>
        <w:pStyle w:val="a3"/>
      </w:pPr>
      <w:r w:rsidRPr="00A32ADF">
        <w:rPr>
          <w:b/>
          <w:lang w:val="en-US"/>
        </w:rPr>
        <w:t>VI</w:t>
      </w:r>
      <w:r w:rsidRPr="00A32ADF">
        <w:rPr>
          <w:b/>
        </w:rPr>
        <w:t>.</w:t>
      </w:r>
      <w:r>
        <w:t> Вибори в Україні давно перетворились на ток-шоу на кшталт колись улюбленого „Нумо, хлопці!</w:t>
      </w:r>
      <w:proofErr w:type="gramStart"/>
      <w:r>
        <w:t>”.</w:t>
      </w:r>
      <w:proofErr w:type="gramEnd"/>
      <w:r>
        <w:t xml:space="preserve"> Чи не тому з року в рік, спершу спостерігаючи за яскравими виступами політиків і тільки потім </w:t>
      </w:r>
      <w:r w:rsidRPr="00FD56E7">
        <w:t>–</w:t>
      </w:r>
      <w:r>
        <w:t xml:space="preserve"> вслухаючись в туманні обіцянки кандидатів, ми так часто вибираємо не тих? Адже не випадково в усьому цивілізованому світі про кандидата на вищий державний пост судять насамперед із його програми.</w:t>
      </w:r>
    </w:p>
    <w:p w:rsidR="0040293D" w:rsidRDefault="0040293D" w:rsidP="0040293D">
      <w:pPr>
        <w:pStyle w:val="a3"/>
      </w:pPr>
      <w:r>
        <w:t>Публічно озвучити економічні аспекти своїх передвиборчих програм кандидатів вже закликала низка організацій, зокрема Європейська організація бізнесу (ЕВА). Адже громадськість має знати, особливо в період економічної кризи, які шляхи розвитку країни бачать потенційні керівники держави (</w:t>
      </w:r>
      <w:r w:rsidRPr="00517975">
        <w:rPr>
          <w:i/>
        </w:rPr>
        <w:t>В. </w:t>
      </w:r>
      <w:proofErr w:type="spellStart"/>
      <w:r w:rsidRPr="00517975">
        <w:rPr>
          <w:i/>
        </w:rPr>
        <w:t>Ватуріна</w:t>
      </w:r>
      <w:proofErr w:type="spellEnd"/>
      <w:r>
        <w:t>).</w:t>
      </w:r>
    </w:p>
    <w:p w:rsidR="0040293D" w:rsidRPr="00824FA6" w:rsidRDefault="0040293D" w:rsidP="0040293D">
      <w:pPr>
        <w:pStyle w:val="a3"/>
        <w:rPr>
          <w:sz w:val="16"/>
          <w:szCs w:val="16"/>
        </w:rPr>
      </w:pPr>
    </w:p>
    <w:p w:rsidR="0040293D" w:rsidRDefault="0040293D" w:rsidP="0040293D">
      <w:pPr>
        <w:pStyle w:val="a3"/>
      </w:pPr>
      <w:r w:rsidRPr="00A32ADF">
        <w:rPr>
          <w:b/>
          <w:lang w:val="en-US"/>
        </w:rPr>
        <w:t>VII</w:t>
      </w:r>
      <w:r w:rsidRPr="00A32ADF">
        <w:rPr>
          <w:b/>
        </w:rPr>
        <w:t>.</w:t>
      </w:r>
      <w:r>
        <w:t> </w:t>
      </w:r>
      <w:r w:rsidRPr="00D522A8">
        <w:rPr>
          <w:i/>
        </w:rPr>
        <w:t>22 липня 1957 </w:t>
      </w:r>
      <w:proofErr w:type="gramStart"/>
      <w:r w:rsidRPr="00D522A8">
        <w:rPr>
          <w:i/>
        </w:rPr>
        <w:t>р.,</w:t>
      </w:r>
      <w:proofErr w:type="gramEnd"/>
      <w:r w:rsidRPr="00D522A8">
        <w:rPr>
          <w:i/>
        </w:rPr>
        <w:t xml:space="preserve"> Харків.</w:t>
      </w:r>
    </w:p>
    <w:p w:rsidR="0040293D" w:rsidRDefault="0040293D" w:rsidP="0040293D">
      <w:pPr>
        <w:pStyle w:val="a3"/>
      </w:pPr>
      <w:r>
        <w:t>Доброго дня, Гришо!</w:t>
      </w:r>
    </w:p>
    <w:p w:rsidR="0040293D" w:rsidRDefault="0040293D" w:rsidP="0040293D">
      <w:pPr>
        <w:pStyle w:val="a3"/>
      </w:pPr>
      <w:r>
        <w:t xml:space="preserve">Вже за </w:t>
      </w:r>
      <w:proofErr w:type="spellStart"/>
      <w:r>
        <w:t>адресою</w:t>
      </w:r>
      <w:proofErr w:type="spellEnd"/>
      <w:r>
        <w:t xml:space="preserve"> ти можеш визначити, що я перебуваю в гуртожитку, з чого безмежно радий. Вартість його за 37 днів становить п’ятдесят карбованців. Це добре. Постіль я взяв даремно: мені видали все потрібне. Повідомлю ще одну втішну для тебе і радісну для мене новину: німецької мені не складати. Не складають її й історики. Першого буду писати диктант, і ти не </w:t>
      </w:r>
      <w:proofErr w:type="spellStart"/>
      <w:r>
        <w:t>забудь</w:t>
      </w:r>
      <w:proofErr w:type="spellEnd"/>
      <w:r>
        <w:t xml:space="preserve"> записати </w:t>
      </w:r>
      <w:r>
        <w:lastRenderedPageBreak/>
        <w:t xml:space="preserve">мене у святці якому-небудь дячку. Справді, </w:t>
      </w:r>
      <w:proofErr w:type="spellStart"/>
      <w:r>
        <w:t>запиши</w:t>
      </w:r>
      <w:proofErr w:type="spellEnd"/>
      <w:r>
        <w:t xml:space="preserve"> раба Божого Григорія, який старається во ім’я Отця, і Сина, і Святого Духа, а також в ім’я любові до всякого роду вчення. Був на консультації, розчарувався: надто багато було питань досить дурних. Мовою конкретно займалися мало. Живу поруч із зоопарком, весело, слухаю ревіння левів, тигрів. Ось у цілому вся моя теперішність. Майбутнє попереду, якого відати сам не відаю...</w:t>
      </w:r>
    </w:p>
    <w:p w:rsidR="0040293D" w:rsidRDefault="0040293D" w:rsidP="0040293D">
      <w:pPr>
        <w:pStyle w:val="a3"/>
      </w:pPr>
      <w:r>
        <w:t>До зустрічі.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Григір</w:t>
      </w:r>
      <w:r>
        <w:rPr>
          <w:rStyle w:val="a8"/>
        </w:rPr>
        <w:footnoteReference w:id="1"/>
      </w:r>
    </w:p>
    <w:p w:rsidR="001F0B3F" w:rsidRDefault="001F0B3F">
      <w:bookmarkStart w:id="0" w:name="_GoBack"/>
      <w:bookmarkEnd w:id="0"/>
    </w:p>
    <w:sectPr w:rsidR="001F0B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B72" w:rsidRDefault="00943B72" w:rsidP="0040293D">
      <w:pPr>
        <w:spacing w:after="0" w:line="240" w:lineRule="auto"/>
      </w:pPr>
      <w:r>
        <w:separator/>
      </w:r>
    </w:p>
  </w:endnote>
  <w:endnote w:type="continuationSeparator" w:id="0">
    <w:p w:rsidR="00943B72" w:rsidRDefault="00943B72" w:rsidP="00402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B72" w:rsidRDefault="00943B72" w:rsidP="0040293D">
      <w:pPr>
        <w:spacing w:after="0" w:line="240" w:lineRule="auto"/>
      </w:pPr>
      <w:r>
        <w:separator/>
      </w:r>
    </w:p>
  </w:footnote>
  <w:footnote w:type="continuationSeparator" w:id="0">
    <w:p w:rsidR="00943B72" w:rsidRDefault="00943B72" w:rsidP="0040293D">
      <w:pPr>
        <w:spacing w:after="0" w:line="240" w:lineRule="auto"/>
      </w:pPr>
      <w:r>
        <w:continuationSeparator/>
      </w:r>
    </w:p>
  </w:footnote>
  <w:footnote w:id="1">
    <w:p w:rsidR="0040293D" w:rsidRPr="00A32ADF" w:rsidRDefault="0040293D" w:rsidP="0040293D">
      <w:pPr>
        <w:pStyle w:val="a6"/>
      </w:pPr>
      <w:r>
        <w:rPr>
          <w:rStyle w:val="a8"/>
        </w:rPr>
        <w:footnoteRef/>
      </w:r>
      <w:r>
        <w:t xml:space="preserve"> Лист Григора Тютюнника до брата Григорія.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93D"/>
    <w:rsid w:val="001F0B3F"/>
    <w:rsid w:val="0040293D"/>
    <w:rsid w:val="006039E1"/>
    <w:rsid w:val="00943B72"/>
    <w:rsid w:val="00B4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ий"/>
    <w:basedOn w:val="a"/>
    <w:link w:val="a4"/>
    <w:rsid w:val="0040293D"/>
    <w:pPr>
      <w:spacing w:after="0" w:line="264" w:lineRule="auto"/>
      <w:ind w:firstLine="709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5">
    <w:name w:val="Strong"/>
    <w:basedOn w:val="a0"/>
    <w:qFormat/>
    <w:rsid w:val="0040293D"/>
    <w:rPr>
      <w:b/>
      <w:bCs/>
    </w:rPr>
  </w:style>
  <w:style w:type="paragraph" w:styleId="a6">
    <w:name w:val="footnote text"/>
    <w:basedOn w:val="a"/>
    <w:link w:val="a7"/>
    <w:semiHidden/>
    <w:rsid w:val="004029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Текст виноски Знак"/>
    <w:basedOn w:val="a0"/>
    <w:link w:val="a6"/>
    <w:semiHidden/>
    <w:rsid w:val="004029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footnote reference"/>
    <w:basedOn w:val="a0"/>
    <w:semiHidden/>
    <w:rsid w:val="0040293D"/>
    <w:rPr>
      <w:vertAlign w:val="superscript"/>
    </w:rPr>
  </w:style>
  <w:style w:type="character" w:customStyle="1" w:styleId="a4">
    <w:name w:val="Основний Знак"/>
    <w:basedOn w:val="a0"/>
    <w:link w:val="a3"/>
    <w:rsid w:val="0040293D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ий"/>
    <w:basedOn w:val="a"/>
    <w:link w:val="a4"/>
    <w:rsid w:val="0040293D"/>
    <w:pPr>
      <w:spacing w:after="0" w:line="264" w:lineRule="auto"/>
      <w:ind w:firstLine="709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5">
    <w:name w:val="Strong"/>
    <w:basedOn w:val="a0"/>
    <w:qFormat/>
    <w:rsid w:val="0040293D"/>
    <w:rPr>
      <w:b/>
      <w:bCs/>
    </w:rPr>
  </w:style>
  <w:style w:type="paragraph" w:styleId="a6">
    <w:name w:val="footnote text"/>
    <w:basedOn w:val="a"/>
    <w:link w:val="a7"/>
    <w:semiHidden/>
    <w:rsid w:val="004029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Текст виноски Знак"/>
    <w:basedOn w:val="a0"/>
    <w:link w:val="a6"/>
    <w:semiHidden/>
    <w:rsid w:val="004029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footnote reference"/>
    <w:basedOn w:val="a0"/>
    <w:semiHidden/>
    <w:rsid w:val="0040293D"/>
    <w:rPr>
      <w:vertAlign w:val="superscript"/>
    </w:rPr>
  </w:style>
  <w:style w:type="character" w:customStyle="1" w:styleId="a4">
    <w:name w:val="Основний Знак"/>
    <w:basedOn w:val="a0"/>
    <w:link w:val="a3"/>
    <w:rsid w:val="0040293D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4134</Words>
  <Characters>2357</Characters>
  <Application>Microsoft Office Word</Application>
  <DocSecurity>0</DocSecurity>
  <Lines>19</Lines>
  <Paragraphs>12</Paragraphs>
  <ScaleCrop>false</ScaleCrop>
  <Company/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RomanS</dc:creator>
  <cp:lastModifiedBy>RomanS</cp:lastModifiedBy>
  <cp:revision>1</cp:revision>
  <dcterms:created xsi:type="dcterms:W3CDTF">2018-10-29T18:37:00Z</dcterms:created>
  <dcterms:modified xsi:type="dcterms:W3CDTF">2018-10-29T18:39:00Z</dcterms:modified>
</cp:coreProperties>
</file>