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AD" w:rsidRPr="005A77AD" w:rsidRDefault="00476624" w:rsidP="00476624">
      <w:pPr>
        <w:shd w:val="clear" w:color="auto" w:fill="FFFFFF"/>
        <w:spacing w:after="0" w:line="360" w:lineRule="auto"/>
        <w:ind w:firstLine="851"/>
        <w:jc w:val="both"/>
        <w:outlineLvl w:val="4"/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val="en-US"/>
        </w:rPr>
        <w:t>J</w:t>
      </w:r>
      <w:r w:rsidR="005A77AD" w:rsidRPr="005A77AD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val="en-US"/>
        </w:rPr>
        <w:t>erzy Kochan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color w:val="328EBF"/>
          <w:kern w:val="36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b/>
          <w:bCs/>
          <w:color w:val="328EBF"/>
          <w:kern w:val="36"/>
          <w:sz w:val="28"/>
          <w:szCs w:val="28"/>
          <w:lang w:val="en-US"/>
        </w:rPr>
        <w:t> (Nie</w:t>
      </w:r>
      <w:proofErr w:type="gramStart"/>
      <w:r w:rsidRPr="005A77AD">
        <w:rPr>
          <w:rFonts w:ascii="Times New Roman" w:eastAsia="Times New Roman" w:hAnsi="Times New Roman" w:cs="Times New Roman"/>
          <w:b/>
          <w:bCs/>
          <w:color w:val="328EBF"/>
          <w:kern w:val="36"/>
          <w:sz w:val="28"/>
          <w:szCs w:val="28"/>
          <w:lang w:val="en-US"/>
        </w:rPr>
        <w:t>)obecność</w:t>
      </w:r>
      <w:proofErr w:type="gramEnd"/>
      <w:r w:rsidRPr="005A77AD">
        <w:rPr>
          <w:rFonts w:ascii="Times New Roman" w:eastAsia="Times New Roman" w:hAnsi="Times New Roman" w:cs="Times New Roman"/>
          <w:b/>
          <w:bCs/>
          <w:color w:val="328EBF"/>
          <w:kern w:val="36"/>
          <w:sz w:val="28"/>
          <w:szCs w:val="28"/>
          <w:lang w:val="en-US"/>
        </w:rPr>
        <w:t xml:space="preserve"> Oświecenia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Kiedy Immanuel Kant, w wieku pięćdziesięciu siedmiu lat, zaczął wydawać swoje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Krytyki…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miał świadomość podejmowania próby przezwyciężenia sporu między racjonalizmem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empiryzmem.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Wielkość jego dzieła polegała przede wszystkim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dokonaniu w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antynaturalistycznego przełomu, od którego poczynając, renesansowy humanizm musi być uznany za nieteoretyczny triumf zdrowego rozsądku. Kant stworzył tym samym podwaliny pod – posiadające już swój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czny przedmiot teoretyczny, różny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przedmiotu empirycznego – nowoczesną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ę i humanistykę.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Tym samym powstały ogólnoteoretyczne przesłanki powstania teorii społecznych, mogących przekroczyć granice oczywistości, zdrowego rozsądku, czystego moralizatorstwa czy natchnionego wizjonerstwa.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Kant współcześnie jawi się jako twórca fundamentów nowoczesnej Europy nie tylko z uwagi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swój projekt wieczystego pokoju, potępienie wojny, wywołanie kampanii na rzecz ogólnoludzkiej moralności, której instrumentem miał stać się imperatyw kategoryczny. Podstawowe znaczenie jego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polega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stworzeniu właśnie tego antynaturalistycznego przełomu, umożliwiającego praktykę teoretyczną przekraczającą horyzont społeczeństwa nie tylko feudalnego, ale i kapitalistycznego. Te podstawy pasowania humanistyki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teorię naukową zostały skwapliwie rozwinięte w pismach Fichtego, Hegla, a w końcu Feuerbacha i Marksa.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W tym też zawiera się sens tezy, że spadkobiercą dorobku klasycznej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niemieckiej jest rewolucyjny, antykapitalistyczny ruch robotniczy.</w:t>
      </w:r>
      <w:proofErr w:type="gramEnd"/>
    </w:p>
    <w:p w:rsidR="005A77AD" w:rsidRPr="005A77AD" w:rsidRDefault="005A77AD" w:rsidP="00FE650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Rozumiem przez to, że zarówno imperatyw kategoryczny Kanta, jak i jego przełom antynaturalistyczny są nie tylko szczytowymi osiągnięciami niemieckiej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oświeceniowej i filozofii europejskiego Oświecenia w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ogóle ,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lecz także „maszynami wojennymi”, których siła działania nie wyczerpuje się w zanegowaniu feudalnych dekoracji. Perspektywa imperatywu kategorycznego Kanta czy „Zamkniętego państwa handlowego” Fichtego zakłada realizację idei oświeceniowych, idei Wielkiej Rewolucji Francuskiej w wymiarze ogólnoludzkim,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dla którego osiągnięcia ramy kapitalistycznej własności prywatnej muszą być rozbite i zniesione, by idee te wcieliły się w życie. Miał więc rację Heinrich Heine, gdy pisał, że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„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Precz upiory! Będę teraz mówił o człowieku, którego samo imię ma już moc egzorcyzmu,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będę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mówił o Immanuelu Kancie! Powiadają, że nocne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mary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pierzchają z przerażeniem, gdy ujrzą miecz katowski. Jakaż więc trwoga musi je ogarniać, gdy wyciągnie się ku nim dłoń uzbrojoną w Kanta «Krytykę czystego rozumu»! Księga owa to miecz, którym w Niemczech dokonano egzekucji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na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deizmie.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Mówiąc szczerze, Wy Francuzi, jesteście w porównaniu z nami Niemcami, łagodni i powściągliwi.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Potra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liście co najwyżej zgładzić jakiegoś króla, ten zaś i tak stracił był już głowę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długo przedtem zanim mu ją ucięliście. A jeszcze musieliście przy tym tak donośnie walić w bębny, krzyczeć i tupać nogami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,że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wstrząsu doznał cały okrąg Ziemi.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Zbyt wielki doprawdy zaszczyt wyświadcza się Maksymilianowi Robespierre`owi, porównując go z Immanuelem Kantem.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(…) Immanuel Kant, ów wielki burzyciel królestwa myśli, w dziedzinie terroru daleko prześcignął Maksymiliana Robespierra (…) przepuścił szturm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na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niebiosa i wyciął w pień całą ich załogę. Oto Pan świata pływa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,niedowiedziony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, we własnej krwi, nie ma już wszechogarniającego miłosierdzia, ojcowskiej dobroci, czekającej w zaświatach nagrody za ziemską wstrzemięźliwość, nieśmiertelność duszy wydaje ostatnie tchnienie – słychać rzężenie i jęki…”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[</w:t>
      </w:r>
      <w:hyperlink r:id="rId4" w:anchor="nb1" w:tooltip="[1] Heine 1997, s. 111–112, 122.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1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Heine zwraca przede wszystkim uwagę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radykalizm stosunku Kanta do religii. Ale przecież uznaje go także za „większego terrorystę”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Robespierre’a i „wielkiego burzyciela w dziedzinie myśli”.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Nietrudno zgodzić się z Heinem, gdy uwzględnia się znaczenie Kanta dla klasycznej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niemieckiej i jej kontynuatorów w wiekach XIX i XX, jego prekursorską rolę w tradycji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pozytywistycznej.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Niezrozumienie doktryny Kanta uniemożliwia recepcję zarówno dokonanego przez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lozofa przełomu, jak i percepcję późniejszej historii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i, a za jej pośrednictwem całego dziedzictwa kulturowego Oświecenia, Wielkiej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Rewolucji Francuskiej i, w najogólniejszym sensie, kultury społeczeństwa mieszczańskiego.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E6DDA">
        <w:rPr>
          <w:rFonts w:ascii="Times New Roman" w:eastAsia="Times New Roman" w:hAnsi="Times New Roman" w:cs="Times New Roman"/>
          <w:b/>
          <w:bCs/>
          <w:color w:val="328EBF"/>
          <w:sz w:val="28"/>
          <w:szCs w:val="28"/>
          <w:lang w:val="en-US"/>
        </w:rPr>
        <w:t>II</w:t>
      </w:r>
    </w:p>
    <w:p w:rsidR="005A77AD" w:rsidRPr="005A77AD" w:rsidRDefault="005A77AD" w:rsidP="0001000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Nie wiem,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ile Immanuel Kant orientował się w przebiegu recepcji jego myśli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cznej w tak bliskiej geogra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cznie Królewca Polsce.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 swym bezpośrednim otoczeniu towarzyskim odnajdywał przecież i Polaków, dla których był mistrzem i geniuszem.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Sądzę jednak, że cała historia recepcji myśli kantowskiej w Polsce wprawiłaby samego Kanta w wesoły nastrój.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Tym, co w niej uderza przede wszystkim to jej prowincjonalność i dyletantyzm, ba, czasem wręcz bezwstydne nieuctwo w najbardziej żenującej,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bo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zabarwionej ostentacją formie. Czołowe postacie polskiego życia intelektualnego, takie jak Kołłątaj („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Nie mając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– pisał Kołłątaj –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przed oczami dzieł niemieckich Kanta przeczytałem z największą pilnością dzieło francuskie, napisane przez Villersa, a ponieważ w młodości mojej słuchałem całego kursu perypatetyki w Krakowie, nie było mi trudno pojąć, czego chce Kant w swej 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lozo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 transcendentalnej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” [</w:t>
      </w:r>
      <w:hyperlink r:id="rId5" w:anchor="nb2" w:tooltip="[2] Kołłątaj 1844, s. 160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2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 czy Staszic [</w:t>
      </w:r>
      <w:hyperlink r:id="rId6" w:anchor="nb3" w:tooltip="[3] Staszic – uważany w Polsce za jednego z największych erudytów swej epoki – (...)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3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</w:t>
      </w:r>
      <w:r w:rsidR="0001000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wypowiadają się o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Kanta, nie znając jego podstawowych prac, bądź też pisząc wprost, że są one „niezrozumiałe”. Na tym tle stosunkowo najlepiej wypada recepcja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Projektu wiecznego pokoju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i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Wyobrażenia do historii powszechnej we względzie kosmopolitycznym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– prac tłumaczonych przez ucznia Kanta, Józefa Bychowca.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Ich praktyczno-polityczny aspekt w kontekście rozpadającego się państwa polskiego był szczególnie miło witany, pozwalając czytelnikom odnaleźć w pismach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lozofa wsparcie i pociechę.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Jednakże inne prace Kanta dostępne były wyłącznie w językach obcych,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ich odczytanie przez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lozofów polskich przełomu XVIII i XIX w. niekonwencjonalne…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Powszechne było postrzeganie Kanta jako myśliciela nie tylko trudnego i mętnego, ale i konserwatywnego, czy wręcz – reakcyjnego.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Filozo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 transcendentalna została zrozumiana głównie jako krytyczna reakcja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jasną myśl oświeceniową i klarowny empiryzm brytyjski. Co dziwne, została odczytana tak zarówno przez zwolenników, jak i przeciwników Kanta!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Za pierwszego kantystę w Polsce uchodzi Józef Kalasanty Szaniawski.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Poszukiwał on w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myśliciela wsparcia dla krytyki oświecenia, materializmu, sceptycyzmu, haseł Rewolucji Francuskiej i rozbudzanych przez nie nadmiernych społecznych oczekiwań poprawy bytu.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Reakcyjna krytyka polskiego Oświecenia beztrosko wyrywała z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Kanta elementy krytyki naiwnego sensualizmu i materializmu, ideę wolnej woli i wykorzystywała je do zwalczania swoich wrogów, nie troszcząc się o całościową rekonstrukcję poglądów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lozofa z Królewca czy o dochodzenie jego intencji, poglądów politycznych, stosunku do Rewolucji i Oświecenia.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Co dziwne, również zwolennicy Oświecenia odczytywali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lozo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ę Kanta jako odwrót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idei Oświecenia i powrót do średniowiecza. Jak pisał o Kancie jeden z uczestników życia intelektualnego owych lat: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„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On nas z wieku XVIII przeniósł w wiek scholastyczny.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On nas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od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logiki prostej prowadzi do meta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zyki, a pracując transcendentnie i transcendentalnie, wprowadza do obłąkania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” [</w:t>
      </w:r>
      <w:hyperlink r:id="rId7" w:anchor="nb4" w:tooltip="[4] ibidem, s. 118.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4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Krytyka głównego oponenta kantowskiej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gruncie polskim – Jana Śniadeckiego, w imię „ratowania ojczyzny”, walki z anarchią, ciemnotą i zacofaniem, oskarża Kanta o nawrót do scholastyki i o niszczycielską rolę w świadomości społecznej.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„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Filozo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 Kanta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– pisał Śniadecki –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jest to symptoma paroksyzmu i prawdziwa zaraza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na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umysł ludzki; dotknąwszy Niemcy północne zrobiła kilka setek wariatów, inne rozsądniejsze narody uniknęły tej choroby. (…)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Kant w materiałach najpotoczniejszych jest ciemny pedant (…) Straciwszy czas na dochodzeniu tych tajemnic, dziwiłem się, że na końcu XVIII wieku znalazły się głowy XIV wieku”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[</w:t>
      </w:r>
      <w:hyperlink r:id="rId8" w:anchor="nb5" w:tooltip="[5] ibidem, s. 118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5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].</w:t>
      </w:r>
      <w:proofErr w:type="gramEnd"/>
    </w:p>
    <w:p w:rsidR="005A77AD" w:rsidRPr="005A77AD" w:rsidRDefault="005A77AD" w:rsidP="0001000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Nie mniej ostro krytykuje Kanta Kołłątaj, pisząc, że pomysł nauczania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transcendentalnej jest „godzien politowania”, ponieważ cofnąłby</w:t>
      </w:r>
      <w:r w:rsidR="0001000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„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wiadomości 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lozo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czne od XIX wieku do XV wieku, wprowadziłby na nowo perypatetykę, język ciemny i niezrozumiały, a mówiąc o rzeczach bez sensu i związku, nazywając owe transcendentalnymi, chciałby dochodzić rzeczy a priori, 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które nie dadzą się inaczej dochodzić jeno ze skutków”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[</w:t>
      </w:r>
      <w:hyperlink r:id="rId9" w:anchor="nb6" w:tooltip="[6] Kołłątaj, s. 159–160.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6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</w:t>
      </w:r>
      <w:r w:rsidR="0001000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Jeśli opisany tu stosunek do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Kanta zestawi się z polskim Oświeceniem, jego przyziemnością i prowincjonalizmem, można powiedzieć, że stosunek do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Kanta najpełniej i najjaskrawiej odsłania dystans kulturowy, cywilizacyjny i społeczny dzielący Polskę od europejskiej myśli oświeceniowej i europejskich idei rewolucyjnych.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Kantowska meta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zyka podmiotu transcendentalnego musiała w Polsce ustąpić przed meta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zyką powstań i walki o restytucję niepodległej państwowości, przed programem żmudnego cywilizowania zacofanego społeczeństwa.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 można bowiem recepcji Kanta tłumaczyć jedynie „specy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ką” polskiego Oświecenia, nieuctwem i dyletanctwem jego krytyków, bez wyjaśnienia o wiele bardziej ogólnego w kontekście historycznym.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Należałoby sięgnąć aż do analiz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ki rozwoju średniowiecznej gospodarki na terenach na wschód od Łaby, uwzględnić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kę ukształtowanej z latami polskiej gospodarki folwarcznej, zorientowanej na eksport towarów rolnych do coraz bardziej urbanizującej się i kapitalizującej Europy Zachodniej, i import towarów luksusowych, głównie z bogatego Wschodu. Należałoby wspomnieć także o swoistych stosunkach quasi kolonialnych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polskich kresach i nawarstwianiu się tych wszystkich elementów razem.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Wynik jest dobrze znany: blokada rozwoju miast, rzemiosła i przemysłu, panowanie gospodarki szlacheckiej, a z czasem coraz bardziej magnackiej, słabość władzy państwowej i decentralizacja, prowadzące do swobodnej penetracji przestrzeni społecznej Rzeczpospolitej przez ościenne, i nie tylko ościenne, państwa.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Ale przecież nie tylko perspektywa państwa i jego niepodległości jest tu ważna.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ka historii gospodarczej ziem polskich i losy polskiej państwowości i narodu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są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ściśle związane także z ukształtowaną historycznie strukturą społeczną oraz duchowymi i instytucjonalnymi przesłankami jej rozwoju.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Polska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 wobec uni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kującego procesu umacniania się świata kapitalistycznego była coraz bardziej zacofana i peryferyjna, a to z kolei przesądzało o zdeformowanej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partycypacji w kulturze i polityce europejskiej.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zyka niepodległości stała się dodatkową przeszkodą w przyswajaniu tradycji oświecenia europejskiego i wszystkiego, co było konsekwencją rewolucyjno- burżuazyjnych przemian XVIII i XIX w.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 wymiarze kulturowym, oznaczać to miało m.in.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niepodzielne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panowanie obecności literatury i tradycji romantycznej. Ten peryferyjny nurt literacki, będący w swej istocie irracjonalistyczną i indywidualistyczną odpowiedzią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nudę i trud obcowania z dochodzącą do głosu kulturą mieszczańską i nauką, w Polsce święci triumfy prawie przez dwa wieki. Jest zapleczem powstańczej zapalczywości i walki o niepodległość, a po jej odzyskaniu historyczną legitymizacją status quo.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Także i w praktyce ideowej i edukacyjnej PRL-u stanowi w dalszym ciągu fundament tożsamości narodowej i państwowej.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Trudno znaleźć w polskiej tradycji odpowiedniki twórczości Ch. Dickensa, H. Balzaca czy E. Zoli.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Najbardziej mieszczańska powieść w polskiej tradycji –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Lalka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Bolesława Prusa – opisuje wprawdzie praktykę funkcjonowania polskiego kapitału, ale główny jej bohater, Staś Wokulski, robi interesy za granicą, jego marzeniem jest złączenie się ze zrupieciałymi resztkami ziemiaństwa, a ostatecznie jedzie do Paryża poszukiwać metalu lżejszego od powietrza…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Ziemia obiecana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Władysława Reymonta została wydana w roku 1899 r. i ukazuje męki moralne szlachcica szukającego swego miejsca w biznesowych, kapitalistycznych regułach gry w przemysłowej, żydowsko-niemieckiej Łodzi.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Przypomnijmy, że dwa lata później rozpoczął się „okres niebieski” w twórczości Pabla Picassa, a sześć lat później namalował on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Panny z Avignonu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Brak tradycji Oświecenia także w warunkach „radości z odzyskanego śmietnika”.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Symboliczną postacią w dziedzinie kultury i ideologii jest tu Tadeusz Boy-Żeleński i jego heroiczny trud introdukcji tradycji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grunt polski, nie sięgającej aż do Oświecenia, lecz w ogóle tradycji kultury francuskiej.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Trudności i opór, jaki napotkał, nie były zresztą większe niż trudności z utrzymaniem republikańskiego charakteru państwa i swobód demokratyczno- burżuazyjnych, czy też dotyczące rozwoju ekonomicznego.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Ostatecznie wszystko skończyło się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zamachem majowym i konstytucją kwietniową, a więc swoistą dyktaturą, a następnie kolejnym rozbiorem Polski.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Dwudziestolecie międzywojenne nie było spóźnionym triumfem Oświecenia.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Poziom rozwoju ekonomicznego, struktura społeczna, sytuacja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rynku idei kreowały raczej warunki sprzyjające kształtowaniu się przestrzeni kulturowej – jakże przypominającej współczesne stosunki w Turcji czy Algierii – charakterystycznej dla peryferyjnego kraju zależnego kapitalizmu, rozpiętego między nacjonalistyczno-religijnym fundamentalizmem i mesjanistycznie nastrojoną soldateską. Mówię o tym bez satysfakcji jedynie po to, żeby wyjaśnić dlaczego nośnikiem tradycji Oświecenia w warunkach polskich stać się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musiał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przede wszystkim lewicowy ruch robotniczy i jego literaccy przedstawiciele, dlaczego w Polsce doszło do nałożenia się na siebie dwóch czasów historycznych: czasu Rewolucji Francuskiej, wyzwalającej od feudalizmu, i czasu walki z kapitalizmem w imię postkapitalistycznych, bardziej humanistycznych rozwiązań. Abstrahując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różnych złożonych problemów geopolityki, rewolucji i niepodległości, trzeba stwierdzić, że szerokie upowszechnienie tradycji Oświecenia dokonało się w Polsce w czasach PRL-u.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Jest trochę tak, jak z rewolucją socjalistyczną i rewolucją kulturalną w Polsce po drugiej wojnie światowej – i jedna, i druga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miarę peryferyjnego kapitalizmu. Walka z analfabetyzmem, reforma rolna, czy oddzielenie Kościoła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państwa – nie są reformami socjalistycznymi, stają się takimi w regionach niedorozwoju kapitalizmu.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Podobnie wiejska twórczość ludowa nie jest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czna dla socjalistycznej kultury.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Mylenie rustykalności z rewolucją kulturalną jest zazwyczaj glory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kacją prekapitalistycznych form kulturowych.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Również i w tym wypadku świadczy to tylko o niewytworzeniu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cznej kultury charakterystycznej dla społeczeństwa przemysłowego.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Otwarcie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Oświecenie w Polsce powojennej łatwo prześledzić na przykładzie polityki wydawniczej w ramach serii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Biblioteki Klasyków Filozo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Jeszcze przed przełomem antystalinowskim wydano w jej ramach pisma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m.in.: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Condillaca, Morelle’ego, La Mettrie’ego, D’Alemberta, Spinozy, Kanta, Staszica,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Kołłątaja, Mesliera, a także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Powołanie człowieka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J.G. Fichtego.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Literatura oświeceniowa jest tu bezwzględnie dominująca, poza nią mamy do czynienia tylko z nielicznymi pracami, które i tak dają się wpisać w ramy szerokiego projektu oświeceniowego (jak np. w wypadku F. Bacona).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 tych warunkach historycznych introdukcja Oświecenia nie była i nie mogła być bezproblemowa.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Podstawową przeszkodą było także i tu nałożenie się czasów: historycznych przemian o charakterze jeszcze wręcz antyfeudalnym i antykapitalistycznej transformacji ustrojowej. Stąd stosunek do tradycji Oświecenia, odznaczający się stałą manierą krytyki oświeceniowej tradycji jako mającej charakter połowiczny, abstrakcyjny i nienaukowy.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Wyszukiwanie i podkreślanie niedoskonałości miało prawem kontrastu wywołać tym pełniejszą akceptację paradygmatu marksistowskiego czy marksistowsko-leninowskiego.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Tym samym nawiązywanie do tradycji oświeceniowej miało charakter instrumentalny i tymczasowy, stanowiło tylko element w wysiłkach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rzecz uprawomocnienia tak czy inaczej rozumianego marksizmu i było natychmiast prawie deprecjonowane – krytyka Oświecenia była jednocześnie krytyką burżuazyjnej tradycji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cznej, krytyką systemu społecznego wyzysku.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Zgubne konsekwencje tego stanu rzeczy łatwo dostrzec.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Kant jawił się głównie jako „idealista subiektywny”, który nie uznaje istnienia realnego świata.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Wielki Fichte!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traktowany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jest jak berkeleyowski ekstermista.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Hegel jako idealista obiektywny, posądzany o reakcyjność i religianctwo, a jako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lozof państwa i prawa wręcz o poglądy prefaszystowskie.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Marksizm polski w swym zasadniczym zrębie nie przyswoił intelektualnie dorobku europejskiego Oświecenia i pozostawał zazwyczaj w swych teoriach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poziomie naturalistycznej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przedkantowskiej.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Takie jest też jedno z głębokich źródeł „marksistowskiego dogmatyzmu”.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Zwróćmy uwagę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,jak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bardzo, mimo różnic w kontekście historycznym, stosunek „krytyki marksistowskiej” do wymienionych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lozofów jest podobny do antykantowskiej reakcji z początków XIX w.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W konsekwencji, Oświecenie nie tylko nie zapuściło głębokich korzeni w kulturze polskiej, ale nie ukształtowało się w ogóle jako historycznie ugruntowana, autonomiczna warstwa kulturowa, do której odwołanie się mogłoby być akceptowane społecznie.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 więcej, pospieszna adaptacja tradycji oświeceniowej sprawiała, że wszelkie aktualne i żywe wartości, wywodzące się z jej dorobku, zostały potocznie złączone z królującą praktyką teoretyczną i ideologiczną, a nawet brakiem pełnej niepodległości i dominacją rosyjską.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Ateistą nie jest Kant czy Wolter, ateiści to bolszewicy…Nie istnieje samorząd, spółdzielczość, rady pracownicze, tylko sowiety i kołchozy…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Antypodą i alternatywą istniejącego społecznego stanu rzeczy stają się przedoświeceniowe formy organizacji świadomości społecznej i meta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zyka powstań, wraz ze związanymi z nią nacjonalizmem i mesjanizmem.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E6DDA">
        <w:rPr>
          <w:rFonts w:ascii="Times New Roman" w:eastAsia="Times New Roman" w:hAnsi="Times New Roman" w:cs="Times New Roman"/>
          <w:b/>
          <w:bCs/>
          <w:color w:val="328EBF"/>
          <w:sz w:val="28"/>
          <w:szCs w:val="28"/>
          <w:lang w:val="en-US"/>
        </w:rPr>
        <w:t>III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Odrzucenie praktyki realnego socjalizmu prowadzi często nie tylko do odrzucenia rewolucji bolszewickiej i lewicowej orientacji społecznej, lecz zazwyczaj także automatycznie do zanegowania całej tradycji związanej z Oświeceniem i Wielką Rewolucją Francuską (przypatrzmy się, jaką „prasę" ma w ostatnich latach w Polsce wspomniany wcześniej Tadeusz Boy-Żeleński).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Realizuje się to również z wykorzystaniem aparatów ideologicznych państwa, w tym systemu edukacji państwowej.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 jednym z aktualnie obowiązujących podręczników historii dla drugiej klasy gimnazjum, zatwierdzonym przez Ministerstwo Edukacji Narodowej, możemy znaleźć obraz Rewolucji Francuskiej ociekający krwią nieuzasadnionego terroru, a jednocześnie pełen współczucia dla bezprawnie straconego króla. Zawiera on też obszerny opis glory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kujący powstańców z Wandei, którzy po zmuszeniu republikanów do odmówienia pacierza puszczają ich wolno, wybaczając im wymordowanie żon, dzieci i spalenie domów. W podsumowaniu części poświęconej Rewolucji Francuskiej autorzy podręcznika piszą, że: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„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Bezpośrednimi skutkami rewolucji były z jednej strony ogromne o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ﬁ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ary (przyjmuje się, że zginęło około miliona Francuzów), ruina i zniszczenie kraju oraz 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 xml:space="preserve">wielu dóbr kultury, z drugiej – zniesienie przywilejów, dopuszczenie stanu trzeciego do kariery w administracji państwowej i armii (…), powiększenie ilości ziemi posiadanej przez chłopów. Trzeba pamiętać, że to właśnie rewolucja francuska dała przykład i zachętę do posługiwania się terrorem przez państwo, mające coraz większą kontrolę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nad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życiem i poglądami swoich obywateli.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W późniejszym czasie stała się ona wzorem dla ruchów rewolucyjnych, społecznych i politycznych w świecie.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Jej programy i ideały </w:t>
      </w:r>
      <w:proofErr w:type="gramStart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są</w:t>
      </w:r>
      <w:proofErr w:type="gramEnd"/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obecnie uważane za podstawę nowoczesnego społeczeństwa demokratycznego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” [</w:t>
      </w:r>
      <w:hyperlink r:id="rId10" w:anchor="nb7" w:tooltip="[7] Kucharczyk 2003, s. 292.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7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To końcowe odwołanie się do społeczeństwa demokratycznego nie oznacza jednak po prostu pochwały demokracji. Jest ono raczej wpasowane w krytykę demokracji i współczesnej Europy: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„(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…)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trzeba pamiętać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– piszą autorzy –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że demokracja pozbawiona jakichkolwiek stałych wartości nadrzędnych łatwo przekształca się w zaprzeczenie wolności i samowolę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” [</w:t>
      </w:r>
      <w:hyperlink r:id="rId11" w:anchor="nb8" w:tooltip="[8] ibidem, s. 290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8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]. Zapewne chodzi o uniwersalne normy moralne i wartości chrześcijańskie, które pochodzą bezpośrednio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Boga i w których obronę Polska jako państwo angażuje się na arenie międzynarodowej.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 lewicowy premier Miller owładnięty poczuciem konieczności chrystianizacji Europy, w tym zwłaszcza pierwszej córki Kościoła – Francji, to znaczący symbol sytuacji ideowej, kulturowej i politycznej powstałej w ostatnich latach.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Podobnie jak powszechna w Polsce całkowita obcość francuskiej tradycji republikańskiej, przekładająca się m.in.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zakaz używania symboli religijnych w szkołach.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Obserwujemy brak zrozumienia dla nowoczesnej Europy w Polsce i brak zrozumienia dla polskich dziwactw w Europie.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Nasz kraj traktowany jest często jako skansen fundamentalizmu religijnego i chorobliwej narodowej megalomanii.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Zjawiska te są związane przede wszystkim z brakiem zrozumienia dla standardów europejskich, będących dziedzictwem zarówno Rewolucji Francuskiej, Oświecenia, jak i dwustu lat tradycji kształtowania się społeczeństw demokratycznych, a przede wszystkim tych procesów, których intensy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kacja i upowszechnienie wiąże się ze specy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czną rewolucją 1968 r. W tym ostatnim wypadku mamy do czynienia z masowym odrzuceniem wartości „nowej lewicy” i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dyskursów wypracowanych w późnej fazie „społeczeństwa opiekuńczego” (m.in. ruch ekologiczny, feministyczny, wszelkie ruchy emancypujące różnie de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niowanych mniejszości). Panujący dyskurs przeszłości, dla którego zbitka Polak-katolik pozostaje dalej magicznym punktem odniesienia, pozbawiony jest naukowych form artykulacji i odwołuje się głównie do historycznie określonych r y t u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ł ó w p o k u t y.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P o l i t y c z n e r y t u a ł y p o k u t y to zjawisko z pola politycznej praktyki, które przejawia się w domaganiu się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podmiotów politycznych, bądź też w podejmowaniu przez podmioty polityczne aktów symbolicznej skruchy za wyrządzone w przeszłości krzywdy, przestępstwa czy przewiny. Taki język skruchy i pokuty można odnaleźć w dyskusjach o Jedwabnem, lustracji i Instytucie Pamięci Narodowej, w historycznie ugruntowanym stosunku do Rosji, Niemiec, Czech, Francji…, w rytuałach domagania się przepraszania i w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gurach przepraszania. Podobnie, choć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nieco niższym poziomie, jest w wypadku różnych tzw.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afer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Zasadniczym ich rezultatem jest „postawienie w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stan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oskarżenia”, trybunalizacja zachowań przeciwnika, a zarazem własna „ucieczka w stan niezaskarżalności”, w wyniku „stania się sumieniem dla innych”. Oczywiście trybunalizacja taka nie ma nic, albo niewiele wspólnego z procesem sądowym, z mediatyzacją wytworzoną przez wypracowane społecznie praktyki prawne i sądownicze [</w:t>
      </w:r>
      <w:hyperlink r:id="rId12" w:anchor="nb9" w:tooltip="[9] Marquard 1994; Marquard 2001." w:history="1">
        <w:r w:rsidRPr="008E6DDA">
          <w:rPr>
            <w:rFonts w:ascii="Times New Roman" w:eastAsia="Times New Roman" w:hAnsi="Times New Roman" w:cs="Times New Roman"/>
            <w:b/>
            <w:bCs/>
            <w:color w:val="328EBF"/>
            <w:sz w:val="28"/>
            <w:szCs w:val="28"/>
            <w:u w:val="single"/>
            <w:lang w:val="en-US"/>
          </w:rPr>
          <w:t>9</w:t>
        </w:r>
      </w:hyperlink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] Przypomina ona raczej staropolski okrzyk: „Hańba!” –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którym można by tylko jeszcze zawołać: „Bigosować!!”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Charakterystyczne jest również to, że w takiej perspektywie „d o z n a w a n i e k r z y w d y” staje się najlepszym sposobem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uniknięcie posądzenia o zamiar dominacji nad innymi, a zrzucenie z siebie wszelkiej odpowiedzialności na innych realizuje się poprzez stanie się dla nich sumieniem.</w:t>
      </w:r>
    </w:p>
    <w:p w:rsidR="008A2DD5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Wspaniałym przykładem tego typu zjawiska jest tzw.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afera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Rywina.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Ujawnia ona w sposób niezwykle poglądowy ustabilizowaną obecność rytuałów pokuty w Polsce, ich siłę i skuteczność.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Są one w stanie obalić rząd i doprowadzić do destrukcji rządzącą partię polityczną bez jednego skazującego wyroku sądowego, bez nowych wyborów i mimo zastąpienia stagnacji gospodarczej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ustabilizowanym pokaźnym wzrostem.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 więcej, nie chodzi tu tylko o rozbicie z zewnątrz, lecz co najmniej w takim samym stopniu o autodestrukcję, świadczącą o swoistej internalizacji logiki rytuałów pokuty w masowym ruchu politycznym polskiej lewicy.</w:t>
      </w:r>
      <w:proofErr w:type="gramEnd"/>
    </w:p>
    <w:p w:rsidR="008932BE" w:rsidRPr="008A2DD5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Zwróćmy uwagę również i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to, że </w:t>
      </w:r>
      <w:r w:rsidRPr="000D44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en-US"/>
        </w:rPr>
        <w:t>realne przystąpienie Polski do wojny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złamanie prawa międzynarodowego, ostentacyjne lekceważenie ONZ, a także najbliższych sojuszników z Unii Europejskiej i NATO – zostały przyjęte przez społeczeństwo w sposób bezdyskusyjny i bezre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ﬂ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eksyjny. Akces do logiki teksańskiego międzynarodowego linczu mieści się bowiem w formule trybunalizacji i pokuty. Ba, zaakceptowana została wręcz idea zdobywania Babilonu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!!,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wobec której „awantura kijowska Piłsudskiego”, „Wodzu prowadź na Wilno!”, a nawet przedwojenna Liga Morska i Kolonialna to pomysły racjonalnego centrum. Swoiste </w:t>
      </w:r>
      <w:r w:rsidRPr="008E6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signum temporis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to nieabsorbująca uwagi społecznej zgoda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zamianę statusu żołnierzy wolności na opłacanych najemników – oczywiste stało się specjalne płacenie za służbę w Iraku, a motyw zarobkowy niepodważalną ogólnopolską normą moralną, w jakimś sensie zrozumiałą w kraju dwudziestoprocentowego bezrobocia. Biedna rodzina puszcza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ulice córki, biedny kraj – żołnierzy.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28EBF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Opisane zjawiska świadczą o daleko posuniętej deracjonalizacji komunikacji społecznej i politycznej, o fundowaniu swoistego „realizmu magicznego” jako jej formy dominującej.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 jego logikę nakładają się ogólne cechy charakterystyczne kultury epoki postmodernizmu – same z siebie destruujące marzenie o racjonalnym podmiocie oświeceniowym.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Polska (nie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)obecność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epoce Oświecenia jest więc chyba już nie do odrobienia, w każdym razie nie do odrobienia w formie narodowej.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być może trzeba przyznać rację tym, którzy twierdzą, że polska droga do oświecenia wiedzie przez Brukselę.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E6DDA">
        <w:rPr>
          <w:rFonts w:ascii="Times New Roman" w:eastAsia="Times New Roman" w:hAnsi="Times New Roman" w:cs="Times New Roman"/>
          <w:b/>
          <w:bCs/>
          <w:color w:val="328EBF"/>
          <w:sz w:val="28"/>
          <w:szCs w:val="28"/>
          <w:lang w:val="en-US"/>
        </w:rPr>
        <w:t>BIBLIOGRAFIA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Heine H. (1997).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Z dziejów religii i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w Niemczech, przeł.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T. Zatorski, Kraków: Wydawnictwo „Nomos”.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Kaczmarek S. (1995). Immanuel Kant. Portret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lozofa, Warszawa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:Wydawnictwo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Naukowe Uniwersytetu im. Adama Mickiewicza.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Kołłątaj H. (1844) Korespondencja, t.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I, Kraków.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Korzeniewski B. Polityczne rytuały pokuty w świetle przemian kulturowych późnej nowoczesności (nieopublikowany).</w:t>
      </w:r>
      <w:proofErr w:type="gramEnd"/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Kucharczyk G., Milcarek P., Robak M. (2003).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Przez tysiącleciai wieki.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Cywilizacje nowożytności, Warszawa: WSiP SA, podręcznik do drugiej klasy gimnazjum – numer dopuszczenia: 74/03.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Marquard O. (1994). Rozstanie z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lozo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ą pierwszych zasad, Warszawa: 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cyna Naukowa.</w:t>
      </w:r>
    </w:p>
    <w:p w:rsidR="005A77AD" w:rsidRPr="005A77AD" w:rsidRDefault="005A77AD" w:rsidP="004766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Marquard O. (2001).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Szczęście w nieszczęściu.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Rozważania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lozo 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czne, tłum.</w:t>
      </w:r>
      <w:proofErr w:type="gramEnd"/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K. Krzemieniowa, Warszawa: O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</w:rPr>
        <w:t>ﬁ</w:t>
      </w:r>
      <w:r w:rsidRPr="005A77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cyna Naukowa.</w:t>
      </w:r>
    </w:p>
    <w:p w:rsidR="00FF0798" w:rsidRPr="008E6DDA" w:rsidRDefault="00FF0798" w:rsidP="0047662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F0798" w:rsidRPr="008E6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5A77AD"/>
    <w:rsid w:val="00010008"/>
    <w:rsid w:val="000D443A"/>
    <w:rsid w:val="00476624"/>
    <w:rsid w:val="005A77AD"/>
    <w:rsid w:val="008932BE"/>
    <w:rsid w:val="008A2DD5"/>
    <w:rsid w:val="008E6DDA"/>
    <w:rsid w:val="00DA1AA6"/>
    <w:rsid w:val="00FE6507"/>
    <w:rsid w:val="00FF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77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5A77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7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5A77A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pip">
    <w:name w:val="spip"/>
    <w:basedOn w:val="a"/>
    <w:rsid w:val="005A7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5A77AD"/>
    <w:rPr>
      <w:b/>
      <w:bCs/>
    </w:rPr>
  </w:style>
  <w:style w:type="character" w:styleId="a4">
    <w:name w:val="Emphasis"/>
    <w:basedOn w:val="a0"/>
    <w:uiPriority w:val="20"/>
    <w:qFormat/>
    <w:rsid w:val="005A77AD"/>
    <w:rPr>
      <w:i/>
      <w:iCs/>
    </w:rPr>
  </w:style>
  <w:style w:type="character" w:styleId="a5">
    <w:name w:val="Hyperlink"/>
    <w:basedOn w:val="a0"/>
    <w:uiPriority w:val="99"/>
    <w:semiHidden/>
    <w:unhideWhenUsed/>
    <w:rsid w:val="005A77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wakrytyka.pl/spip.php?article19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owakrytyka.pl/spip.php?article199" TargetMode="External"/><Relationship Id="rId12" Type="http://schemas.openxmlformats.org/officeDocument/2006/relationships/hyperlink" Target="http://nowakrytyka.pl/spip.php?article1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owakrytyka.pl/spip.php?article199" TargetMode="External"/><Relationship Id="rId11" Type="http://schemas.openxmlformats.org/officeDocument/2006/relationships/hyperlink" Target="http://nowakrytyka.pl/spip.php?article199" TargetMode="External"/><Relationship Id="rId5" Type="http://schemas.openxmlformats.org/officeDocument/2006/relationships/hyperlink" Target="http://nowakrytyka.pl/spip.php?article199" TargetMode="External"/><Relationship Id="rId10" Type="http://schemas.openxmlformats.org/officeDocument/2006/relationships/hyperlink" Target="http://nowakrytyka.pl/spip.php?article199" TargetMode="External"/><Relationship Id="rId4" Type="http://schemas.openxmlformats.org/officeDocument/2006/relationships/hyperlink" Target="http://nowakrytyka.pl/spip.php?article199" TargetMode="External"/><Relationship Id="rId9" Type="http://schemas.openxmlformats.org/officeDocument/2006/relationships/hyperlink" Target="http://nowakrytyka.pl/spip.php?article1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3955</Words>
  <Characters>22548</Characters>
  <Application>Microsoft Office Word</Application>
  <DocSecurity>0</DocSecurity>
  <Lines>187</Lines>
  <Paragraphs>52</Paragraphs>
  <ScaleCrop>false</ScaleCrop>
  <Company/>
  <LinksUpToDate>false</LinksUpToDate>
  <CharactersWithSpaces>26451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2018-10-09T19:30:00Z</dcterms:created>
  <dcterms:modified xsi:type="dcterms:W3CDTF">2018-10-09T19:37:00Z</dcterms:modified>
</cp:coreProperties>
</file>