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58F" w:rsidRPr="00A71765" w:rsidRDefault="00A5658F" w:rsidP="00EA743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765">
        <w:rPr>
          <w:rFonts w:ascii="Times New Roman" w:eastAsia="Times New Roman" w:hAnsi="Times New Roman" w:cs="Times New Roman"/>
          <w:b/>
          <w:bCs/>
          <w:sz w:val="28"/>
          <w:szCs w:val="28"/>
        </w:rPr>
        <w:t>FILOZOFIA ODRODZENIA</w:t>
      </w:r>
    </w:p>
    <w:p w:rsidR="00A5658F" w:rsidRPr="00A71765" w:rsidRDefault="00A5658F" w:rsidP="00EA743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Odrodzenie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jest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dogodnym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wyróżnikiem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tej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epoki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choć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jest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wyróżnik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równie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wieloznaczny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jak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osławiony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humanizm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",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który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jej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przypisują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podręczniki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szkolne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. W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rzeczywistości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mamy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tym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okresie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do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czynienia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z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prawdziwym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wrzeniem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kulturalnym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tendencjach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różnych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czy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zgoła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przeciwstawnych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Spotyka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się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tutaj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zarówno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nowatorstwo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jak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ruch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wstecz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ku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rzekomo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prawdziwym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czy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autentycznym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korzeniom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co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samo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sobie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jest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również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nowatorstwem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5658F" w:rsidRPr="00A71765" w:rsidRDefault="00A5658F" w:rsidP="00EA743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Taką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samą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dwuznaczność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znajdujemy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koncepcji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bytu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ludzkiego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Gdy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dla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jednych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człowiek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naturalny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staje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się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wielką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wartością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zdaniem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innych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chodzi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przede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wszystkim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by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przeciwdziałać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naturalnej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grzeszności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uciekając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się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do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pomocy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łaski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658F" w:rsidRPr="00A71765" w:rsidRDefault="00A5658F" w:rsidP="00EA743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Niemniej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istnieje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pewien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zespół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cech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charakterystycznych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który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usprawiedliwia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wyodrębnienie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tej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</w:rPr>
        <w:t>epoki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1471" w:rsidRPr="00A71765" w:rsidRDefault="00A5658F" w:rsidP="00EA743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Jest to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czas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odrzucenia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scholastyki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czas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powrotu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starożytności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Odkrywa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greckie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teksty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wraca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Platona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Filozofia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dąży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tego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by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oderwać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od</w:t>
      </w:r>
      <w:proofErr w:type="spellEnd"/>
      <w:proofErr w:type="gram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teologii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stać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myślą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świecką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choć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nadal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na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ogół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dziełem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duchownych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związanych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w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stopniu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wiele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większym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="00547FE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47FE0">
        <w:rPr>
          <w:rFonts w:ascii="Times New Roman" w:eastAsia="Times New Roman" w:hAnsi="Times New Roman" w:cs="Times New Roman"/>
          <w:sz w:val="28"/>
          <w:szCs w:val="28"/>
          <w:lang w:val="en-US"/>
        </w:rPr>
        <w:t>niż</w:t>
      </w:r>
      <w:proofErr w:type="spellEnd"/>
      <w:r w:rsidR="00547FE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47FE0">
        <w:rPr>
          <w:rFonts w:ascii="Times New Roman" w:eastAsia="Times New Roman" w:hAnsi="Times New Roman" w:cs="Times New Roman"/>
          <w:sz w:val="28"/>
          <w:szCs w:val="28"/>
          <w:lang w:val="en-US"/>
        </w:rPr>
        <w:t>się</w:t>
      </w:r>
      <w:proofErr w:type="spellEnd"/>
      <w:r w:rsidR="00547FE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47FE0">
        <w:rPr>
          <w:rFonts w:ascii="Times New Roman" w:eastAsia="Times New Roman" w:hAnsi="Times New Roman" w:cs="Times New Roman"/>
          <w:sz w:val="28"/>
          <w:szCs w:val="28"/>
          <w:lang w:val="en-US"/>
        </w:rPr>
        <w:t>zazwyczaj</w:t>
      </w:r>
      <w:proofErr w:type="spellEnd"/>
      <w:r w:rsidR="00547FE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47FE0">
        <w:rPr>
          <w:rFonts w:ascii="Times New Roman" w:eastAsia="Times New Roman" w:hAnsi="Times New Roman" w:cs="Times New Roman"/>
          <w:sz w:val="28"/>
          <w:szCs w:val="28"/>
          <w:lang w:val="en-US"/>
        </w:rPr>
        <w:t>przyznaje</w:t>
      </w:r>
      <w:proofErr w:type="spellEnd"/>
      <w:r w:rsidR="00547FE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z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problematyką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okresu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wcześniejszego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Jest to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okres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powrotu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lub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przekonania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że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powraca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) do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antycznego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pojęcia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humanitas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choć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jego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znaczenie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ogół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ulega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modyfikacji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pod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wpływem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chrześcijaństwa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Tak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zwani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poganie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nie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są</w:t>
      </w:r>
      <w:proofErr w:type="spellEnd"/>
      <w:proofErr w:type="gram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tak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ważni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jak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zwykle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twierdzi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Pisarze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tacy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jak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Petrarka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(1304-1374)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czy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Boccaccio (1313-1375),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którym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często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powierza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rolę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ojców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założycieli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humanizmu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doby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Renesansu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należą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raczej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 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okresu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wcześniejszego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Jednocześnie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nie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wolno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zapominać</w:t>
      </w:r>
      <w:proofErr w:type="spellEnd"/>
      <w:r w:rsidRPr="00A71765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</w:p>
    <w:tbl>
      <w:tblPr>
        <w:tblW w:w="5000" w:type="pct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15"/>
      </w:tblGrid>
      <w:tr w:rsidR="0045226D" w:rsidRPr="00A31B80" w:rsidTr="004522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226D" w:rsidRPr="00A71765" w:rsidRDefault="0045226D" w:rsidP="00EA7432">
            <w:pPr>
              <w:pStyle w:val="a3"/>
              <w:spacing w:before="0" w:beforeAutospacing="0" w:after="0" w:afterAutospacing="0" w:line="360" w:lineRule="auto"/>
              <w:ind w:firstLine="851"/>
              <w:jc w:val="both"/>
              <w:rPr>
                <w:sz w:val="28"/>
                <w:szCs w:val="28"/>
                <w:lang w:val="en-US"/>
              </w:rPr>
            </w:pPr>
            <w:r w:rsidRPr="00A71765">
              <w:rPr>
                <w:b/>
                <w:bCs/>
                <w:i/>
                <w:iCs/>
                <w:sz w:val="28"/>
                <w:szCs w:val="28"/>
                <w:lang w:val="en-US"/>
              </w:rPr>
              <w:t>1490-1530</w:t>
            </w:r>
            <w:r w:rsidRPr="00A71765">
              <w:rPr>
                <w:sz w:val="28"/>
                <w:szCs w:val="28"/>
                <w:lang w:val="en-US"/>
              </w:rPr>
              <w:t xml:space="preserve"> -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Lefèvre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d´Étaples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wydaje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we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Francji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dzieła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Arystotelesa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, a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następnie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przekłada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francuski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najpierw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św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Pawła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potem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Nowy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Testament, a w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końcu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całą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Biblię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.</w:t>
            </w:r>
          </w:p>
          <w:p w:rsidR="0045226D" w:rsidRPr="00A71765" w:rsidRDefault="0045226D" w:rsidP="00EA7432">
            <w:pPr>
              <w:pStyle w:val="a3"/>
              <w:spacing w:before="0" w:beforeAutospacing="0" w:after="0" w:afterAutospacing="0" w:line="360" w:lineRule="auto"/>
              <w:ind w:firstLine="851"/>
              <w:jc w:val="both"/>
              <w:rPr>
                <w:sz w:val="28"/>
                <w:szCs w:val="28"/>
                <w:lang w:val="en-US"/>
              </w:rPr>
            </w:pPr>
            <w:r w:rsidRPr="00A71765">
              <w:rPr>
                <w:b/>
                <w:bCs/>
                <w:i/>
                <w:iCs/>
                <w:sz w:val="28"/>
                <w:szCs w:val="28"/>
                <w:lang w:val="en-US"/>
              </w:rPr>
              <w:t>1498</w:t>
            </w:r>
            <w:r w:rsidRPr="00A71765">
              <w:rPr>
                <w:sz w:val="28"/>
                <w:szCs w:val="28"/>
                <w:lang w:val="en-US"/>
              </w:rPr>
              <w:t xml:space="preserve"> - </w:t>
            </w:r>
            <w:proofErr w:type="spellStart"/>
            <w:proofErr w:type="gramStart"/>
            <w:r w:rsidRPr="00A71765">
              <w:rPr>
                <w:sz w:val="28"/>
                <w:szCs w:val="28"/>
                <w:lang w:val="en-US"/>
              </w:rPr>
              <w:t>tragiczny</w:t>
            </w:r>
            <w:proofErr w:type="spellEnd"/>
            <w:proofErr w:type="gram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koniec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Girolamo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Savonaroli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ur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1452),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wizjonera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apokaliptyka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który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pragnął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przemienić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Florencję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państwo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doskonałe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.</w:t>
            </w:r>
          </w:p>
          <w:p w:rsidR="0045226D" w:rsidRPr="00A71765" w:rsidRDefault="0045226D" w:rsidP="00EA7432">
            <w:pPr>
              <w:pStyle w:val="a3"/>
              <w:spacing w:before="0" w:beforeAutospacing="0" w:after="0" w:afterAutospacing="0" w:line="360" w:lineRule="auto"/>
              <w:ind w:firstLine="851"/>
              <w:jc w:val="both"/>
              <w:rPr>
                <w:sz w:val="28"/>
                <w:szCs w:val="28"/>
                <w:lang w:val="en-US"/>
              </w:rPr>
            </w:pPr>
            <w:r w:rsidRPr="00A71765">
              <w:rPr>
                <w:b/>
                <w:bCs/>
                <w:i/>
                <w:iCs/>
                <w:sz w:val="28"/>
                <w:szCs w:val="28"/>
                <w:lang w:val="en-US"/>
              </w:rPr>
              <w:lastRenderedPageBreak/>
              <w:t>1510</w:t>
            </w:r>
            <w:r w:rsidRPr="00A71765">
              <w:rPr>
                <w:sz w:val="28"/>
                <w:szCs w:val="28"/>
                <w:lang w:val="en-US"/>
              </w:rPr>
              <w:t> - 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L´art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des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opposés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(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Sztuka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przeciwieństw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), 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Livre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du sage</w:t>
            </w:r>
            <w:r w:rsidR="00547FE0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A71765">
              <w:rPr>
                <w:sz w:val="28"/>
                <w:szCs w:val="28"/>
                <w:lang w:val="en-US"/>
              </w:rPr>
              <w:t>(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Księga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mędrca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Livre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du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néant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(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Księga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nicości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Charles´a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Bovellesa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(1475-1553?).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Osiągnąwszy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duży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lecz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krótkotrwały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sukces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Bovelles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popadł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zapomnienie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aż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momentu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gdy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początku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XX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wieku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odkrył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go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ponownie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Ernest Cassirer.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Bovelles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pozostawił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sobie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bogaty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dorobek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dzięki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któremu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wpisuje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nurt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spekulacji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filozoficznej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wiodącej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od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neoplatonizmu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Mikołaja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Kuzy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Zdaniem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Bovellesa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rozum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odkrywa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że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pojęcia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pomocą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których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myślimy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sprzeczne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Prawda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naturze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ludzkiej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odsłania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sferze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kultury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albowiem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istota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człowieczeństwa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co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człowiek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ma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dopiero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osiągnąć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Natomiast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dusza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ludzka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ma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dwie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siedziby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 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jednocześnie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centrum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ciała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całego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Wszechświata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Dla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Bovellesa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kwestią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zasadniczą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jest problem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stworzenia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-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Bóg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może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stworzyć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coś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co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Bogiem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?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Jedyny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sposób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żeby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uniknąć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panteizmu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to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założenie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że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kreacja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dokonała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r w:rsidRPr="00A71765">
              <w:rPr>
                <w:i/>
                <w:iCs/>
                <w:sz w:val="28"/>
                <w:szCs w:val="28"/>
                <w:lang w:val="en-US"/>
              </w:rPr>
              <w:t>ex nihilo</w:t>
            </w:r>
            <w:r w:rsidRPr="00A71765">
              <w:rPr>
                <w:sz w:val="28"/>
                <w:szCs w:val="28"/>
                <w:lang w:val="en-US"/>
              </w:rPr>
              <w:t xml:space="preserve"> -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wszystkie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rzeczy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powstają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fundamencie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pustki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będącej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nicością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zestawieniu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bytem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boskim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Ukoronowaniem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rozwoju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natury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duch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, a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dogmat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zmartwychwstaniu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będący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prawdą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wiary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jednocześnie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prawdą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metafizyczną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. A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zatem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wszystko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co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stworzone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zatoczywszy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krąg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powraca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pierwotnej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jedności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.</w:t>
            </w:r>
          </w:p>
          <w:p w:rsidR="0045226D" w:rsidRPr="00A71765" w:rsidRDefault="0045226D" w:rsidP="00EA7432">
            <w:pPr>
              <w:pStyle w:val="a3"/>
              <w:spacing w:before="0" w:beforeAutospacing="0" w:after="0" w:afterAutospacing="0" w:line="360" w:lineRule="auto"/>
              <w:ind w:firstLine="851"/>
              <w:jc w:val="both"/>
              <w:rPr>
                <w:sz w:val="28"/>
                <w:szCs w:val="28"/>
                <w:lang w:val="en-US"/>
              </w:rPr>
            </w:pPr>
            <w:r w:rsidRPr="00A71765">
              <w:rPr>
                <w:b/>
                <w:bCs/>
                <w:i/>
                <w:iCs/>
                <w:sz w:val="28"/>
                <w:szCs w:val="28"/>
                <w:lang w:val="en-US"/>
              </w:rPr>
              <w:t>1510-1541</w:t>
            </w:r>
            <w:r w:rsidRPr="00A71765">
              <w:rPr>
                <w:sz w:val="28"/>
                <w:szCs w:val="28"/>
                <w:lang w:val="en-US"/>
              </w:rPr>
              <w:t> - Paracelsus (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ur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1493):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lekarz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filozof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Paracelsus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pisał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niemiecku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zajmując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medycyną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astrologią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filozofią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moralnością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polityką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teologią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.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dzieł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które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sobie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pozostawił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należą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między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innymi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: 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Paragranum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, </w:t>
            </w:r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Opus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Paramirum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, </w:t>
            </w:r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Die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Grobe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Wundarznei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, </w:t>
            </w:r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Die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Astronomia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Magna</w:t>
            </w:r>
            <w:r w:rsidRPr="00A71765">
              <w:rPr>
                <w:sz w:val="28"/>
                <w:szCs w:val="28"/>
                <w:lang w:val="en-US"/>
              </w:rPr>
              <w:t>, 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Philosophia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Sagax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der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Groben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und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Kleinen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Welt</w:t>
            </w:r>
            <w:r w:rsidRPr="00A71765">
              <w:rPr>
                <w:sz w:val="28"/>
                <w:szCs w:val="28"/>
                <w:lang w:val="en-US"/>
              </w:rPr>
              <w:t xml:space="preserve">. Paracelsus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przeciwstawia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autorytetom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Galena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Awicenny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albowiem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prawdziwy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lekarz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zdaniem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zgodnie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powołaniem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uświęconym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przez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Boga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które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polega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poszukiwaniu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prawdy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oddaje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wyłącznie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badaniu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istoty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rzeczy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praktyk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Paracelsus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leczy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bezpłatnie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biedaków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uważa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bowiem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że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w "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szpitalu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Pana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Boga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"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wszyscy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jednakowo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wydani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pastwę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chorób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śmierci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(por. 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Spitalbuch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z 1529). U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źródeł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medycznych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koncepcji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Paracelsusa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znajduje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filozofia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przyrody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nade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wszystko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zaś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teoria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oznakowania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rzeczy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-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znaki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obecne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świecie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roślin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posiadają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mianowicie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związki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ciałem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ludzkim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gdyż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człowiek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r w:rsidRPr="00A71765">
              <w:rPr>
                <w:sz w:val="28"/>
                <w:szCs w:val="28"/>
                <w:lang w:val="en-US"/>
              </w:rPr>
              <w:lastRenderedPageBreak/>
              <w:t xml:space="preserve">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mikrokosmosem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(a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zdrowie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polega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harmonii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wszechświatem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).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Ponieważ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analiza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rozkłada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żywe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całości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należy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dążyć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poznania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podobieństw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Otóż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podobne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tylko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pozwala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poznać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podobne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ale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również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leczy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podobne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Połączywszy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zasadę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koncepcją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że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 to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samo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lekarstwo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może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mieć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różne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skutki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zależności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od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dawki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oraz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że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rozcieńczenie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prowadzi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oczyszczenia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Paracelsus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przyczynił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powstania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homeopatii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Temu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skądinąd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płodnemu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autorowi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zawdzięczamy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przepis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rozkładającej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spermy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stworzyć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homunkulusa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.</w:t>
            </w:r>
          </w:p>
        </w:tc>
      </w:tr>
      <w:tr w:rsidR="0045226D" w:rsidRPr="00A31B80" w:rsidTr="0045226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226D" w:rsidRPr="00A71765" w:rsidRDefault="0045226D" w:rsidP="00EA7432">
            <w:pPr>
              <w:spacing w:after="0" w:line="36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31908" w:rsidRPr="00A31B80" w:rsidTr="006319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31908" w:rsidRPr="00A71765" w:rsidRDefault="00631908" w:rsidP="00EA7432">
            <w:pPr>
              <w:pStyle w:val="a3"/>
              <w:spacing w:before="0" w:beforeAutospacing="0" w:after="0" w:afterAutospacing="0" w:line="360" w:lineRule="auto"/>
              <w:ind w:firstLine="851"/>
              <w:jc w:val="both"/>
              <w:rPr>
                <w:sz w:val="28"/>
                <w:szCs w:val="28"/>
                <w:lang w:val="en-US"/>
              </w:rPr>
            </w:pPr>
            <w:r w:rsidRPr="00A71765">
              <w:rPr>
                <w:b/>
                <w:bCs/>
                <w:i/>
                <w:iCs/>
                <w:sz w:val="28"/>
                <w:szCs w:val="28"/>
                <w:lang w:val="en-US"/>
              </w:rPr>
              <w:t>511</w:t>
            </w:r>
            <w:r w:rsidRPr="00A71765">
              <w:rPr>
                <w:sz w:val="28"/>
                <w:szCs w:val="28"/>
                <w:lang w:val="en-US"/>
              </w:rPr>
              <w:t> - 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Pochwała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głupoty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Erazma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Rotterdamu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(1469-1539).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Dla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swojej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epoki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Erazm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stanowi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prawdziwy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autorytet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tak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względu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swą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erudycję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oraz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kulturę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literacką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teologiczną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 z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powodu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swego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moralnego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rygoryzmu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Jest on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najbardziej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wpływowym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autorem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całej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ówczesnej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Europie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;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podróżuje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bezustannie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spotykając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najwybitniejszych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ludzi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swego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czasu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</w:t>
            </w:r>
            <w:r w:rsidR="00A31B80">
              <w:rPr>
                <w:sz w:val="28"/>
                <w:szCs w:val="28"/>
                <w:lang w:val="en-US"/>
              </w:rPr>
              <w:t>dobywając</w:t>
            </w:r>
            <w:proofErr w:type="spellEnd"/>
            <w:r w:rsidR="00A31B8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A31B80">
              <w:rPr>
                <w:sz w:val="28"/>
                <w:szCs w:val="28"/>
                <w:lang w:val="en-US"/>
              </w:rPr>
              <w:t>ich</w:t>
            </w:r>
            <w:proofErr w:type="spellEnd"/>
            <w:r w:rsidR="00A31B8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A31B80">
              <w:rPr>
                <w:sz w:val="28"/>
                <w:szCs w:val="28"/>
                <w:lang w:val="en-US"/>
              </w:rPr>
              <w:t>przyjaźń</w:t>
            </w:r>
            <w:proofErr w:type="spellEnd"/>
            <w:r w:rsidR="00A31B80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="00A31B80">
              <w:rPr>
                <w:sz w:val="28"/>
                <w:szCs w:val="28"/>
                <w:lang w:val="en-US"/>
              </w:rPr>
              <w:t>Erazm</w:t>
            </w:r>
            <w:proofErr w:type="spellEnd"/>
            <w:r w:rsidR="00A31B80">
              <w:rPr>
                <w:sz w:val="28"/>
                <w:szCs w:val="28"/>
                <w:lang w:val="en-US"/>
              </w:rPr>
              <w:t xml:space="preserve"> z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ogromną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szczerością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przedstawia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swoje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poglądy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protestując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przeciw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małżeństwom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zawieranym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powodów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politycznych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zwalczając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wojny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głosząc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pochwałę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tolerancji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nawet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zagrożeniem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strony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Turków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należy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zdaniem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walczyć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posługując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jedynie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orężem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słowa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praktykując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cnoty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chrześcijańskie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). 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Pochwała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A71765">
              <w:rPr>
                <w:i/>
                <w:iCs/>
                <w:sz w:val="28"/>
                <w:szCs w:val="28"/>
                <w:lang w:val="en-US"/>
              </w:rPr>
              <w:t>głupoty</w:t>
            </w:r>
            <w:proofErr w:type="spellEnd"/>
            <w:r w:rsidR="00A31B80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A71765">
              <w:rPr>
                <w:sz w:val="28"/>
                <w:szCs w:val="28"/>
                <w:lang w:val="en-US"/>
              </w:rPr>
              <w:t> jest</w:t>
            </w:r>
            <w:proofErr w:type="gram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najwybitniejszym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dziełem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Erazma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Według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niego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głupota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prowadzi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wyznawców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fałszywej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mądrości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(co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dopiero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głupotą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prawdziwą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)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prawdy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Dowodem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Sokrates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głupiec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idący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głosem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swego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demona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oraz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Chrystus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Bóg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który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dał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ukrzyżować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).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Głupota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zaś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chrześcijan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polega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że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kochają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zarówno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przyjaciół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wrogów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W 1524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roku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swej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rozprawie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O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wolnej</w:t>
            </w:r>
            <w:proofErr w:type="spellEnd"/>
            <w:r w:rsidRPr="00A71765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woli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Erazm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całą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energią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przeciwstawia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Lutrowi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choć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wcześniej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tak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samo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on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piętnował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skandaliczne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zachowanie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wielu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duchownych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).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Odrzucając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koncepcję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że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natura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ludzka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całkowicie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zepsuta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przez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grzech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pierworodny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Erazm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atakuje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fundamenty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luteranizmu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ukazuje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wewnętrzne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sprzeczności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-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jeśli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bowiem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człowiek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ma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wolnej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woli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to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wezwania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by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postępował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zgodnie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wskazaniami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Ewangelii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pozbawione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sensu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Ale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wolna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wola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istnieje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dzięki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temu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człowiek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może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lastRenderedPageBreak/>
              <w:t>przyczynić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zarówno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swego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zbawienia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zguby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.</w:t>
            </w:r>
          </w:p>
          <w:p w:rsidR="00631908" w:rsidRPr="00A71765" w:rsidRDefault="00631908" w:rsidP="00EA7432">
            <w:pPr>
              <w:pStyle w:val="a3"/>
              <w:spacing w:before="0" w:beforeAutospacing="0" w:after="0" w:afterAutospacing="0" w:line="360" w:lineRule="auto"/>
              <w:ind w:firstLine="851"/>
              <w:jc w:val="both"/>
              <w:rPr>
                <w:sz w:val="28"/>
                <w:szCs w:val="28"/>
                <w:lang w:val="en-US"/>
              </w:rPr>
            </w:pPr>
            <w:r w:rsidRPr="00A71765">
              <w:rPr>
                <w:b/>
                <w:bCs/>
                <w:i/>
                <w:iCs/>
                <w:sz w:val="28"/>
                <w:szCs w:val="28"/>
                <w:lang w:val="en-US"/>
              </w:rPr>
              <w:t>1513</w:t>
            </w:r>
            <w:r w:rsidRPr="00A71765">
              <w:rPr>
                <w:sz w:val="28"/>
                <w:szCs w:val="28"/>
                <w:lang w:val="en-US"/>
              </w:rPr>
              <w:t xml:space="preserve"> -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Niccoló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Machiavelli (1469-1527): 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Książę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czyli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rozpatrywać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politykę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kategoriach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czysto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politycznych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Tekst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i/>
                <w:iCs/>
                <w:sz w:val="28"/>
                <w:szCs w:val="28"/>
                <w:lang w:val="en-US"/>
              </w:rPr>
              <w:t>Księcia</w:t>
            </w:r>
            <w:r w:rsidRPr="00A71765">
              <w:rPr>
                <w:sz w:val="28"/>
                <w:szCs w:val="28"/>
                <w:lang w:val="en-US"/>
              </w:rPr>
              <w:t>opublikowany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został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dopiero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1532, a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prawdziwy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oddźwięk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wywołał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dużo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dużo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później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Samouk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sekretarz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doradca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władz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Florencji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Machiavelli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snuje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teorii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temat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państwa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takiego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lecz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skupia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swe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rozważania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jednej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zasadniczej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kwestii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-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stworzyć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utrzymać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państwo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rzeczywistości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takiej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wszystkimi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sprzecznościami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interesów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,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ludzką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skłonnością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zła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oraz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konfliktami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między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"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możnymi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" a "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maluczkimi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".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tle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rozważań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myśliciela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florenckiego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całą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pewnością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znajduje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awanturnicza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kariera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Cezara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Borgii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która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ostatecznie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zakończyła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niepowodzeniem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Machiavelli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chciał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udzielić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rad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rządzącym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Florencją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Medyceuszom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lecz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dzieło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przerosło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to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bezpośrednie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zamierzenie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-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Książę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stał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uogólnionym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symbolem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władzy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też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prostu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Państwa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które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musi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uporać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zagadnieniem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rządzenia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sytuacji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gdy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dochodzi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konfrontacji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między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rozbieżnymi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siłami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Mamy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czynienia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radykalnym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zerwaniem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tradycją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która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wiązała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politykę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etyką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stawiając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zagadnienie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jaki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powinien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być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 co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powinien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robić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polityk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), a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także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z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filozoficznym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poznaniem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Zdaniem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Machiavellego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polityka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pojęta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konkretnie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należy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dziedziny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sztuki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Według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filozofa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,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polityce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wszystkim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decyduje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"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cnota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" (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też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"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wartość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")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Księcia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oraz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szczęście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będące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wypadkową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przypadku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przychylności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losu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przeznaczenia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),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któremu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zawdzięczamy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połowę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naszych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sukcesów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Zdaniem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Machiavellego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polityk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próżno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chciałby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być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uczciwy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albowiem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obowiązki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zmuszają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go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używania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siły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,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działania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podstępnego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, a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nawet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do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zbrodni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Jeśli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stawką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wolność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dobro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ojczyzny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wszystkie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środki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są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dozwolone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(co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miało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ściągnąć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Machiavelli´ego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oskarżenia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o "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makiawelizm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").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Najlepszym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ustrojem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politycznym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republika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, w 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której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panują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rządy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prawa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czego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dowodem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jest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przykład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1765">
              <w:rPr>
                <w:sz w:val="28"/>
                <w:szCs w:val="28"/>
                <w:lang w:val="en-US"/>
              </w:rPr>
              <w:t>Rzymu</w:t>
            </w:r>
            <w:proofErr w:type="spellEnd"/>
            <w:r w:rsidRPr="00A71765">
              <w:rPr>
                <w:sz w:val="28"/>
                <w:szCs w:val="28"/>
                <w:lang w:val="en-US"/>
              </w:rPr>
              <w:t>).</w:t>
            </w:r>
          </w:p>
        </w:tc>
      </w:tr>
      <w:tr w:rsidR="00631908" w:rsidRPr="00A31B80" w:rsidTr="0063190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31908" w:rsidRPr="00A71765" w:rsidRDefault="00631908" w:rsidP="00EA7432">
            <w:pPr>
              <w:spacing w:after="0" w:line="36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293E66" w:rsidRPr="00A71765" w:rsidRDefault="00293E66" w:rsidP="00A31B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93E66" w:rsidRPr="00A71765" w:rsidSect="001E7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658F"/>
    <w:rsid w:val="001E77D2"/>
    <w:rsid w:val="0020399E"/>
    <w:rsid w:val="00293E66"/>
    <w:rsid w:val="0045226D"/>
    <w:rsid w:val="00467A19"/>
    <w:rsid w:val="00547FE0"/>
    <w:rsid w:val="00573D63"/>
    <w:rsid w:val="00631908"/>
    <w:rsid w:val="006E6296"/>
    <w:rsid w:val="0080636D"/>
    <w:rsid w:val="00A31B80"/>
    <w:rsid w:val="00A5658F"/>
    <w:rsid w:val="00A71765"/>
    <w:rsid w:val="00AE1CDC"/>
    <w:rsid w:val="00B71471"/>
    <w:rsid w:val="00BF4C24"/>
    <w:rsid w:val="00D275BA"/>
    <w:rsid w:val="00EA7432"/>
    <w:rsid w:val="00FA1DA8"/>
    <w:rsid w:val="00FA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A48F4-2EA7-43EA-89A4-0D183D051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1226</Words>
  <Characters>6991</Characters>
  <Application>Microsoft Office Word</Application>
  <DocSecurity>0</DocSecurity>
  <Lines>58</Lines>
  <Paragraphs>16</Paragraphs>
  <ScaleCrop>false</ScaleCrop>
  <Company/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2018-10-08T22:12:00Z</dcterms:created>
  <dcterms:modified xsi:type="dcterms:W3CDTF">2018-10-09T16:04:00Z</dcterms:modified>
</cp:coreProperties>
</file>