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4C" w:rsidRPr="004F744C" w:rsidRDefault="004F744C" w:rsidP="004F744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val="en-US"/>
        </w:rPr>
        <w:t>Łukasz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val="en-US"/>
        </w:rPr>
        <w:t>Marczyk</w:t>
      </w:r>
      <w:proofErr w:type="spellEnd"/>
    </w:p>
    <w:p w:rsidR="004F744C" w:rsidRPr="004F744C" w:rsidRDefault="004F744C" w:rsidP="004F744C">
      <w:pPr>
        <w:pStyle w:val="title"/>
        <w:shd w:val="clear" w:color="auto" w:fill="FFFFFF"/>
        <w:spacing w:before="0" w:beforeAutospacing="0" w:after="150" w:afterAutospacing="0" w:line="336" w:lineRule="atLeast"/>
        <w:rPr>
          <w:rFonts w:ascii="Arial" w:hAnsi="Arial" w:cs="Arial"/>
          <w:b/>
          <w:bCs/>
          <w:color w:val="000000"/>
          <w:sz w:val="32"/>
          <w:szCs w:val="32"/>
          <w:lang w:val="en-US"/>
        </w:rPr>
      </w:pPr>
      <w:hyperlink r:id="rId4" w:history="1">
        <w:proofErr w:type="spellStart"/>
        <w:r w:rsidRPr="004F744C">
          <w:rPr>
            <w:rFonts w:ascii="Arial" w:hAnsi="Arial" w:cs="Arial"/>
            <w:b/>
            <w:bCs/>
            <w:color w:val="0000FF"/>
            <w:sz w:val="32"/>
            <w:lang w:val="en-US"/>
          </w:rPr>
          <w:t>Średniowiecze</w:t>
        </w:r>
        <w:proofErr w:type="spellEnd"/>
      </w:hyperlink>
    </w:p>
    <w:p w:rsidR="004F744C" w:rsidRPr="004F744C" w:rsidRDefault="004F744C" w:rsidP="004F744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</w:pPr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Gall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Anonim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? </w:t>
      </w:r>
      <w:proofErr w:type="gram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A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może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Madziar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,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Italianin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albo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German?</w:t>
      </w:r>
      <w:proofErr w:type="gram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Tajemnice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pierwszego</w:t>
      </w:r>
      <w:proofErr w:type="spellEnd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b/>
          <w:bCs/>
          <w:color w:val="000000"/>
          <w:sz w:val="53"/>
          <w:szCs w:val="53"/>
          <w:lang w:val="en-US"/>
        </w:rPr>
        <w:t>kronikarza</w:t>
      </w:r>
      <w:proofErr w:type="spellEnd"/>
    </w:p>
    <w:p w:rsidR="004F744C" w:rsidRPr="004F744C" w:rsidRDefault="004F744C" w:rsidP="004F744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4F744C">
        <w:rPr>
          <w:rFonts w:ascii="Arial" w:eastAsia="Times New Roman" w:hAnsi="Arial" w:cs="Arial"/>
          <w:color w:val="000000"/>
          <w:sz w:val="18"/>
          <w:szCs w:val="18"/>
          <w:lang w:val="en-US"/>
        </w:rPr>
        <w:t>Łukasz</w:t>
      </w:r>
      <w:proofErr w:type="spellEnd"/>
      <w:r w:rsidRPr="004F744C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18"/>
          <w:szCs w:val="18"/>
          <w:lang w:val="en-US"/>
        </w:rPr>
        <w:t>Marczyk</w:t>
      </w:r>
      <w:proofErr w:type="spellEnd"/>
      <w:r w:rsidRPr="004F744C">
        <w:rPr>
          <w:rFonts w:ascii="Arial" w:eastAsia="Times New Roman" w:hAnsi="Arial" w:cs="Arial"/>
          <w:color w:val="000000"/>
          <w:sz w:val="18"/>
          <w:szCs w:val="18"/>
          <w:lang w:val="en-US"/>
        </w:rPr>
        <w:t>, 07.08.2018</w:t>
      </w:r>
    </w:p>
    <w:p w:rsidR="004F744C" w:rsidRPr="004F744C" w:rsidRDefault="004F744C" w:rsidP="004F74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734050" cy="5715000"/>
            <wp:effectExtent l="19050" t="0" r="0" b="0"/>
            <wp:docPr id="1" name="Рисунок 1" descr="https://kurierhistoryczny.pl/uploads/articles/456/kronikarz_301x3_BjXT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urierhistoryczny.pl/uploads/articles/456/kronikarz_301x3_BjXTe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4C" w:rsidRPr="004F744C" w:rsidRDefault="004F744C" w:rsidP="004F744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F744C">
        <w:rPr>
          <w:rFonts w:ascii="Arial" w:eastAsia="Times New Roman" w:hAnsi="Arial" w:cs="Arial"/>
          <w:color w:val="000000"/>
          <w:sz w:val="21"/>
          <w:szCs w:val="21"/>
        </w:rPr>
        <w:t>Drzeworyt</w:t>
      </w:r>
      <w:proofErr w:type="spellEnd"/>
      <w:r w:rsidRPr="004F744C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1"/>
          <w:szCs w:val="21"/>
        </w:rPr>
        <w:t>przedstawiający</w:t>
      </w:r>
      <w:proofErr w:type="spellEnd"/>
      <w:r w:rsidRPr="004F744C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1"/>
          <w:szCs w:val="21"/>
        </w:rPr>
        <w:t>średniowiecznego</w:t>
      </w:r>
      <w:proofErr w:type="spellEnd"/>
      <w:r w:rsidRPr="004F744C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1"/>
          <w:szCs w:val="21"/>
        </w:rPr>
        <w:t>kronikarza</w:t>
      </w:r>
      <w:proofErr w:type="spellEnd"/>
    </w:p>
    <w:p w:rsidR="004F744C" w:rsidRPr="004F744C" w:rsidRDefault="004F744C" w:rsidP="004F744C">
      <w:pPr>
        <w:shd w:val="clear" w:color="auto" w:fill="FFFFFF"/>
        <w:spacing w:after="450" w:line="288" w:lineRule="atLeast"/>
        <w:rPr>
          <w:rFonts w:ascii="Arial" w:eastAsia="Times New Roman" w:hAnsi="Arial" w:cs="Arial"/>
          <w:color w:val="000000"/>
          <w:sz w:val="36"/>
          <w:szCs w:val="36"/>
          <w:lang w:val="en-US"/>
        </w:rPr>
      </w:pP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Spośród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wszystkich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najważniejszych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polskich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kronikarzy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,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to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właśnie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o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tym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pierwszym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wiemy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</w:rPr>
        <w:t>najmniej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</w:rPr>
        <w:t xml:space="preserve">. </w:t>
      </w:r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O to, </w:t>
      </w:r>
      <w:proofErr w:type="spellStart"/>
      <w:proofErr w:type="gram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kim</w:t>
      </w:r>
      <w:proofErr w:type="spellEnd"/>
      <w:proofErr w:type="gram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był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i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skąd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pochodził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Anonim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zwany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Gallem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historycy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spierają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się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 xml:space="preserve"> do </w:t>
      </w:r>
      <w:proofErr w:type="spellStart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dziś</w:t>
      </w:r>
      <w:proofErr w:type="spellEnd"/>
      <w:r w:rsidRPr="004F744C">
        <w:rPr>
          <w:rFonts w:ascii="Arial" w:eastAsia="Times New Roman" w:hAnsi="Arial" w:cs="Arial"/>
          <w:color w:val="000000"/>
          <w:sz w:val="36"/>
          <w:szCs w:val="36"/>
          <w:lang w:val="en-US"/>
        </w:rPr>
        <w:t>.</w:t>
      </w:r>
    </w:p>
    <w:p w:rsidR="004F744C" w:rsidRPr="004F744C" w:rsidRDefault="004F744C" w:rsidP="004F744C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lastRenderedPageBreak/>
        <w:t>Skromny</w:t>
      </w:r>
      <w:proofErr w:type="spellEnd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>kronikarz</w:t>
      </w:r>
      <w:proofErr w:type="spellEnd"/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pochodzącej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początku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XI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stulecia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>polskiej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swoją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skromność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uzasadnił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we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wstępie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księgi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trzeciej</w:t>
      </w:r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:</w:t>
      </w:r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Nie</w:t>
      </w:r>
      <w:proofErr w:type="spellEnd"/>
      <w:proofErr w:type="gram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to,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abym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wynosił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ponad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innych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czy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abym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zalecał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siebie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za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bardziej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biegłego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mowie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[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od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innych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],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podjąłem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tę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pracę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lecz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by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uniknąć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lenistwa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zachować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wprawę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dyktowaniu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by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próżno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jeść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polskiego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chleba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.</w:t>
      </w:r>
    </w:p>
    <w:p w:rsidR="004F744C" w:rsidRPr="004F744C" w:rsidRDefault="004F744C" w:rsidP="004F744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3048000" cy="4248150"/>
            <wp:effectExtent l="19050" t="0" r="0" b="0"/>
            <wp:docPr id="2" name="Рисунок 2" descr="https://kurierhistoryczny.pl/uploads/editor/kronika_pol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urierhistoryczny.pl/uploads/editor/kronika_polsk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Kronika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polska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 –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początek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tekstu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najstarszym</w:t>
      </w:r>
      <w:proofErr w:type="spellEnd"/>
      <w:r w:rsidR="006409FE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zachowanym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rękopisie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, ​​​​​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tzw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Rękopisie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Zamoyskich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 z XIV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wieku</w:t>
      </w:r>
      <w:proofErr w:type="spellEnd"/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Niby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taka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skromność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niczym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złym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czasach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średniowiecza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wręcz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uchodziła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cnotę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szczególności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wśród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mnichów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lecz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żaden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naszych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kolejnych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zdobył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Znamy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przecież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personalia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Wincentego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zwanego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Kadłubkiem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oraz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Jana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Długosza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jednak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również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byli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bezradni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wobec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ustalenia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kim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poprzednik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mimo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obficie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korzystali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zostawionych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materiałów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Nowe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światło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sprawę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tożsamości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pierwszego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rzucił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dopiero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XVI w.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Marcin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Kromer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rękopisie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zapisał</w:t>
      </w:r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:</w:t>
      </w:r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Tę</w:t>
      </w:r>
      <w:proofErr w:type="spellEnd"/>
      <w:proofErr w:type="gram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historię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napisał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Gall,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uważam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jakiś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mnich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jak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wolno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wnosić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wstępów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żył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czasach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Bolesława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III.</w:t>
      </w:r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I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już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zostało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jakiś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„Gall”. W XVIII w.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jeszcze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dalej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poszedł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gdański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historyk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Gotfryd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Lengnich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-</w:t>
      </w:r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 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pierwszy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wydawca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dzieła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nadał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mu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wskutek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zwykłej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omyłki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imię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Martinus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czyli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Marcin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Błąd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wynikał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znalezionej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u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Długosza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informacji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Marcinie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Gallicu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Problem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polegał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rzeczony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fragment 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dotyczył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wydarzenia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swojej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kronice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wspominał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mianowicie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lastRenderedPageBreak/>
        <w:t xml:space="preserve">walk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Lestka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Karolem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Wielkim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Dopiero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100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latach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historycy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wykryli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ten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błąd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Pozostał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zatem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tylko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Gall,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lecz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także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nabierano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wątpliwości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>Skąd</w:t>
      </w:r>
      <w:proofErr w:type="spellEnd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 xml:space="preserve"> ten „Gall” </w:t>
      </w:r>
      <w:proofErr w:type="spellStart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>pochodził</w:t>
      </w:r>
      <w:proofErr w:type="gramStart"/>
      <w:r w:rsidRPr="004F744C">
        <w:rPr>
          <w:rFonts w:ascii="Verdana" w:eastAsia="Times New Roman" w:hAnsi="Verdana" w:cs="Arial"/>
          <w:b/>
          <w:bCs/>
          <w:color w:val="000000"/>
          <w:sz w:val="24"/>
          <w:szCs w:val="24"/>
          <w:lang w:val="en-US"/>
        </w:rPr>
        <w:t>?</w:t>
      </w:r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sprawie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ustalenia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tożsamości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można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przedstawić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jedynie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poszlaki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poglądów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co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kraju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pochodzenia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jest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cała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masa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Wszyscy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chyba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zgadzają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mógł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on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Polakiem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Świadczy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chociażby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wcześniej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przytaczany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ustęp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zjadanym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polskim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chlebie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fragmenty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gdy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mówi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sobie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jako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„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wygnańcu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pielgrzymie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”.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Drogą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eliminacji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możemy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wykluczyć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także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Czecha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Czech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bowiem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nasz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ma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wyjątkowo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nieprzychylny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stosunek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Zupełnie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inaczej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Węgrami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wiedział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sporo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stosunkowo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dużo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poświęcił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miejsca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swoim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dziele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tamtejszym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królom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Stąd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już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tylko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całkiem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realnej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hipotezy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mieliśmy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czynienia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Węgrem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lub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mnichem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Węgry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przewinął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</w:p>
    <w:p w:rsidR="004F744C" w:rsidRPr="004F744C" w:rsidRDefault="004F744C" w:rsidP="00091BA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3124200" cy="3124200"/>
            <wp:effectExtent l="19050" t="0" r="0" b="0"/>
            <wp:docPr id="3" name="Рисунок 3" descr="https://kurierhistoryczny.pl/uploads/editor/Kronikarz_miniaturka_340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urierhistoryczny.pl/uploads/editor/Kronikarz_miniaturka_340x3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Kronikarz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średniowicznej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  <w:lang w:val="en-US"/>
        </w:rPr>
        <w:t>miniaturze</w:t>
      </w:r>
      <w:proofErr w:type="spellEnd"/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Na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Węgrzech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łączy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go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klasztorem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Somogyvar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a to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względu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patrona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Idziego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Święty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Idzi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bowiem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jak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podaje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sam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powodem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dla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pisał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on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dla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księcia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Bolesława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Władysław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Herman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Judyta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mogąc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doczekać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potomka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wysłali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pośrednictwem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kapelana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księżnej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wota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St. Gilles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Prowansji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słynął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kultu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patrona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płodności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Idziego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Niedługo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potem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świecie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pojawił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Bolesław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zwany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przez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potomnych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Krzywoustym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Historia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poparta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kronice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szczegółowym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opisem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tamtejszego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zasugerowała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Kromerowi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pochodził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właśnie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stamtąd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hipotezę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łączy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węgierską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gdyż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dowiadujemy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uczestniczył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orszaku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księcia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Węgier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Polski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Książę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Bolesław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jako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pokutnik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pielgrzymował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Somogyvar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filią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St. Gilles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to tam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mógł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spotkać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przysłanego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Francji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mnicha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W XX w.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zwrócono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uwagę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styl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prozy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naszego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odpowiada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stylowi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innych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kronikarzy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prowansalskich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być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może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pochodził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lub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kształcił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innym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rejonie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Francji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np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nad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Loarą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w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okolicach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Tours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Orleanu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.</w:t>
      </w:r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lastRenderedPageBreak/>
        <w:t>Są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jednak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hipotezy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które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wskazują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jako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autorów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000000"/>
          <w:sz w:val="24"/>
          <w:szCs w:val="24"/>
          <w:lang w:val="en-US"/>
        </w:rPr>
        <w:t>polskiej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konkretne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postacie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historyczne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Opierając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stylu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formie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Anonima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wysunięto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tezę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pochodził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on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Italii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najprawdopodobniej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nim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związany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Wenecją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Mnich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 xml:space="preserve"> z Lido – </w:t>
      </w:r>
      <w:proofErr w:type="spellStart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000000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Historiu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translacji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Mikołaja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Wielkiego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Historyk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Tomasz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Jasiński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zwraca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uwagę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m.in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podobny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 u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obydwu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kronikarzy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sposób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prowadzenia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narracji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zasadzie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przerywanych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wątków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obydwu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dziełach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pojawiają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takie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same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zwroty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, 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jak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długo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trwałoby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 [o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tym</w:t>
      </w:r>
      <w:proofErr w:type="spellEnd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 xml:space="preserve">] </w:t>
      </w:r>
      <w:proofErr w:type="spellStart"/>
      <w:r w:rsidRPr="004F744C">
        <w:rPr>
          <w:rFonts w:ascii="Verdana" w:eastAsia="Times New Roman" w:hAnsi="Verdana" w:cs="Arial"/>
          <w:i/>
          <w:iCs/>
          <w:color w:val="222222"/>
          <w:sz w:val="24"/>
          <w:szCs w:val="24"/>
          <w:lang w:val="en-US"/>
        </w:rPr>
        <w:t>opowiadać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Warto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dodać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jest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wysunięta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raz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pierwszy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1965 r.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przez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Danutę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Borawską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lecz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już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XIX w.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zwracano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uwagę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mógł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pochodzić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Wenecji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a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względu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włoski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styl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bliskość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Węgier.Pod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koniec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XIX w. Max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Gumplowicz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stwierdził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natomiast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Gall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wywodził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Flandrii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a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konkretnie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Wawrzyńca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Liege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jest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tożsamy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postacią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opata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lubińskiego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biskupa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kujawskiego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Baldiwna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Podstawą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twierdzenia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fakt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Anonim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podkreślił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zwycięstwo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Krzywoustego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nad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Pomorzami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miało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miejsce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Dzień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Wawrzyńca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Autor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znał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sporo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szczegółów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temat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ceremonii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pogrzebowej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cesarza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Henryka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IV,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która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miała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miejsce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klasztorze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Liege. A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tak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składało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momencie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powstania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czele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klasztoru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Wawrzyńca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Lubinie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stał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Baldwin,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również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zwany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Gallem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który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najprawdopodobniej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pochodził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Liege,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podobnie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jak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wielu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innych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tamtejszych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mnichów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</w:p>
    <w:p w:rsidR="004F744C" w:rsidRPr="004F744C" w:rsidRDefault="004F744C" w:rsidP="004F744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7620000" cy="4800600"/>
            <wp:effectExtent l="19050" t="0" r="0" b="0"/>
            <wp:docPr id="4" name="Рисунок 4" descr="https://kurierhistoryczny.pl/uploads/editor/klasztor_w_lie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urierhistoryczny.pl/uploads/editor/klasztor_w_lie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</w:rPr>
        <w:t>Opactwo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</w:rPr>
        <w:t>św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</w:rPr>
        <w:t>Wawrzyńca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</w:rPr>
        <w:t>w</w:t>
      </w:r>
      <w:proofErr w:type="spellEnd"/>
      <w:r w:rsidRPr="004F744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F744C">
        <w:rPr>
          <w:rFonts w:ascii="Arial" w:eastAsia="Times New Roman" w:hAnsi="Arial" w:cs="Arial"/>
          <w:color w:val="000000"/>
          <w:sz w:val="24"/>
          <w:szCs w:val="24"/>
        </w:rPr>
        <w:t>Liege</w:t>
      </w:r>
      <w:proofErr w:type="spellEnd"/>
    </w:p>
    <w:p w:rsidR="004F744C" w:rsidRPr="004F744C" w:rsidRDefault="004F744C" w:rsidP="00091BA0">
      <w:pP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lastRenderedPageBreak/>
        <w:t>Chyba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najnowszą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tezą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temat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pochodzenia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autora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pierwszej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polskiej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kroniki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jest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ta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utożsamiająca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wybitnym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misjonarzem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krzewicielem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chrześcijaństwa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wśród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Pomorzan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Ottonem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Bambergu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ewidentnymi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związkami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obydwu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tych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postaci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księciem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polskim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Anonim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miał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mieć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też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powiązania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Bambergiem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.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Johannes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Fried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zwraca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uwagę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autor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kroniki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pewnych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fragmentach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wykazuje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swoją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wyższość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nad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duchowieństwem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</w:rPr>
        <w:t>polskim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</w:rPr>
        <w:t xml:space="preserve">. </w:t>
      </w:r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Jest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również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skory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do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osądzania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innych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jak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np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samego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księcia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przy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historii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Zbigniewem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Świadczyć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by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miało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zatem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skromny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pokorny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mnich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lecz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ktoś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stojący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wyżej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kościelnej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hierarchii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 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Bambergu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tymczasem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dosyć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wcześnie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zaczęto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nauczać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dziejów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antycznych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którą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wiedzą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popisuje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Gall.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Jeżeli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natomiast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chodzi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samego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Ottona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o on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kontakty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dworem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cesarza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Henryka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IV.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Zamieszany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był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spór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inwestyturę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właśnie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powodu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mógł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Polsce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czuć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wygnańcem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Niemiecki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historyk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wskazuje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również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biskup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Bambergu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powiązania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wcześniejszymi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poddanymi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miejscami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świętymi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Z St. Gilles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pozyskał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relikwię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Idziego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wzniósł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Bambergu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kaplicę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mu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poświęconą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Ufundował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klasztor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Wawrzyńca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Otton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brał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również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udział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uroczystościach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pogrzebowych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Henryka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IV w Liege.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Wiele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wskazuje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to,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przebywał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także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Węgrzech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prowadził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kontakty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z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włoskim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duchowieństwem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. I co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najważniejsze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końca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1115 do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maja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1119 r.,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czyli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w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czasie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odpowiadającym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powstaniu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kroniki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było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 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nim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żadnego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śladu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jakby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zapadł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pod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ziemię.Czy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kiedyś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poznamy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prawdę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Gallu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Anonimie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?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Raczej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należy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łudzić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Mówimy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tu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o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mrokach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średniowiecza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gdzie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ustalenie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podstawowych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faktów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sprawia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kłopoty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Jesteśmy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skazani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tym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samym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proofErr w:type="gram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poszlaki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i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założę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się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że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kilka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lat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powstanie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kolejna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hipoteza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na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temat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tego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skąd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 xml:space="preserve"> ten „Gall” </w:t>
      </w:r>
      <w:proofErr w:type="spellStart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pochodził</w:t>
      </w:r>
      <w:proofErr w:type="spellEnd"/>
      <w:r w:rsidRPr="004F744C">
        <w:rPr>
          <w:rFonts w:ascii="Verdana" w:eastAsia="Times New Roman" w:hAnsi="Verdana" w:cs="Arial"/>
          <w:color w:val="222222"/>
          <w:sz w:val="24"/>
          <w:szCs w:val="24"/>
          <w:lang w:val="en-US"/>
        </w:rPr>
        <w:t>.</w:t>
      </w:r>
    </w:p>
    <w:p w:rsidR="00F94988" w:rsidRPr="004F744C" w:rsidRDefault="00F9498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F94988" w:rsidRPr="004F744C" w:rsidSect="007B0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820"/>
    <w:rsid w:val="00070820"/>
    <w:rsid w:val="00091BA0"/>
    <w:rsid w:val="004F744C"/>
    <w:rsid w:val="006409FE"/>
    <w:rsid w:val="007B0C31"/>
    <w:rsid w:val="00F9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F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F744C"/>
    <w:rPr>
      <w:color w:val="0000FF"/>
      <w:u w:val="single"/>
    </w:rPr>
  </w:style>
  <w:style w:type="paragraph" w:customStyle="1" w:styleId="texttitle">
    <w:name w:val="text__title"/>
    <w:basedOn w:val="a"/>
    <w:rsid w:val="004F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F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caption">
    <w:name w:val="text__caption"/>
    <w:basedOn w:val="a"/>
    <w:rsid w:val="004F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ld">
    <w:name w:val="text__bold"/>
    <w:basedOn w:val="a"/>
    <w:rsid w:val="004F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F744C"/>
    <w:rPr>
      <w:b/>
      <w:bCs/>
    </w:rPr>
  </w:style>
  <w:style w:type="character" w:styleId="a6">
    <w:name w:val="Emphasis"/>
    <w:basedOn w:val="a0"/>
    <w:uiPriority w:val="20"/>
    <w:qFormat/>
    <w:rsid w:val="004F744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F7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6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8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689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756">
                      <w:marLeft w:val="0"/>
                      <w:marRight w:val="0"/>
                      <w:marTop w:val="7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5480">
                          <w:blockQuote w:val="1"/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68812">
                          <w:blockQuote w:val="1"/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kurierhistoryczny.pl/artykuly/sredniowiecze,7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1098</Words>
  <Characters>6262</Characters>
  <Application>Microsoft Office Word</Application>
  <DocSecurity>0</DocSecurity>
  <Lines>52</Lines>
  <Paragraphs>14</Paragraphs>
  <ScaleCrop>false</ScaleCrop>
  <Company/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2018-10-04T16:17:00Z</dcterms:created>
  <dcterms:modified xsi:type="dcterms:W3CDTF">2018-10-08T15:55:00Z</dcterms:modified>
</cp:coreProperties>
</file>