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9A" w:rsidRPr="00593D4E" w:rsidRDefault="00593D4E" w:rsidP="00593D4E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Я.В.</w:t>
      </w:r>
      <w:r w:rsidR="0051479A" w:rsidRPr="00593D4E">
        <w:rPr>
          <w:rFonts w:ascii="Times New Roman" w:hAnsi="Times New Roman" w:cs="Times New Roman"/>
          <w:lang w:val="uk-UA"/>
        </w:rPr>
        <w:t>Вовчок</w:t>
      </w:r>
      <w:r w:rsidRPr="00593D4E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93D4E">
        <w:rPr>
          <w:rFonts w:ascii="Times New Roman" w:hAnsi="Times New Roman" w:cs="Times New Roman"/>
          <w:lang w:val="uk-UA"/>
        </w:rPr>
        <w:t>к.п.н</w:t>
      </w:r>
      <w:proofErr w:type="spellEnd"/>
      <w:r w:rsidRPr="00593D4E">
        <w:rPr>
          <w:rFonts w:ascii="Times New Roman" w:hAnsi="Times New Roman" w:cs="Times New Roman"/>
          <w:lang w:val="uk-UA"/>
        </w:rPr>
        <w:t>., доцент</w:t>
      </w:r>
    </w:p>
    <w:p w:rsidR="00593D4E" w:rsidRPr="00593D4E" w:rsidRDefault="0051479A" w:rsidP="00593D4E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П</w:t>
      </w:r>
      <w:r w:rsidR="00593D4E" w:rsidRPr="00593D4E">
        <w:rPr>
          <w:rFonts w:ascii="Times New Roman" w:hAnsi="Times New Roman" w:cs="Times New Roman"/>
          <w:lang w:val="uk-UA"/>
        </w:rPr>
        <w:t>рикарпатський національний університет</w:t>
      </w:r>
    </w:p>
    <w:p w:rsidR="0051479A" w:rsidRPr="00593D4E" w:rsidRDefault="00593D4E" w:rsidP="00593D4E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 імені Василя Стефаника</w:t>
      </w:r>
    </w:p>
    <w:p w:rsidR="00236F47" w:rsidRPr="00593D4E" w:rsidRDefault="0051479A" w:rsidP="00593D4E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593D4E">
        <w:rPr>
          <w:rFonts w:ascii="Times New Roman" w:hAnsi="Times New Roman" w:cs="Times New Roman"/>
          <w:b/>
          <w:lang w:val="uk-UA"/>
        </w:rPr>
        <w:t xml:space="preserve">Диференціація сутності понять </w:t>
      </w:r>
      <w:r w:rsidR="00D66EC8" w:rsidRPr="00593D4E">
        <w:rPr>
          <w:rFonts w:ascii="Times New Roman" w:hAnsi="Times New Roman" w:cs="Times New Roman"/>
          <w:b/>
        </w:rPr>
        <w:t>“</w:t>
      </w:r>
      <w:r w:rsidRPr="00593D4E">
        <w:rPr>
          <w:rFonts w:ascii="Times New Roman" w:hAnsi="Times New Roman" w:cs="Times New Roman"/>
          <w:b/>
          <w:lang w:val="uk-UA"/>
        </w:rPr>
        <w:t>компетенція</w:t>
      </w:r>
      <w:r w:rsidR="00D66EC8" w:rsidRPr="00593D4E">
        <w:rPr>
          <w:rFonts w:ascii="Times New Roman" w:hAnsi="Times New Roman" w:cs="Times New Roman"/>
          <w:b/>
        </w:rPr>
        <w:t>”</w:t>
      </w:r>
      <w:r w:rsidRPr="00593D4E">
        <w:rPr>
          <w:rFonts w:ascii="Times New Roman" w:hAnsi="Times New Roman" w:cs="Times New Roman"/>
          <w:b/>
          <w:lang w:val="uk-UA"/>
        </w:rPr>
        <w:t xml:space="preserve"> та </w:t>
      </w:r>
      <w:r w:rsidR="00D66EC8" w:rsidRPr="00593D4E">
        <w:rPr>
          <w:rFonts w:ascii="Times New Roman" w:hAnsi="Times New Roman" w:cs="Times New Roman"/>
          <w:b/>
        </w:rPr>
        <w:t>“</w:t>
      </w:r>
      <w:r w:rsidRPr="00593D4E">
        <w:rPr>
          <w:rFonts w:ascii="Times New Roman" w:hAnsi="Times New Roman" w:cs="Times New Roman"/>
          <w:b/>
          <w:lang w:val="uk-UA"/>
        </w:rPr>
        <w:t>компетентність</w:t>
      </w:r>
      <w:r w:rsidR="00D66EC8" w:rsidRPr="00593D4E">
        <w:rPr>
          <w:rFonts w:ascii="Times New Roman" w:hAnsi="Times New Roman" w:cs="Times New Roman"/>
          <w:b/>
        </w:rPr>
        <w:t>”</w:t>
      </w:r>
      <w:r w:rsidRPr="00593D4E">
        <w:rPr>
          <w:rFonts w:ascii="Times New Roman" w:hAnsi="Times New Roman" w:cs="Times New Roman"/>
          <w:b/>
          <w:lang w:val="uk-UA"/>
        </w:rPr>
        <w:t xml:space="preserve"> у пр</w:t>
      </w:r>
      <w:r w:rsidR="00D66EC8" w:rsidRPr="00593D4E">
        <w:rPr>
          <w:rFonts w:ascii="Times New Roman" w:hAnsi="Times New Roman" w:cs="Times New Roman"/>
          <w:b/>
          <w:lang w:val="uk-UA"/>
        </w:rPr>
        <w:t>о</w:t>
      </w:r>
      <w:r w:rsidRPr="00593D4E">
        <w:rPr>
          <w:rFonts w:ascii="Times New Roman" w:hAnsi="Times New Roman" w:cs="Times New Roman"/>
          <w:b/>
          <w:lang w:val="uk-UA"/>
        </w:rPr>
        <w:t>цесі професійної підготовки майбутніх менеджерів е</w:t>
      </w:r>
      <w:r w:rsidR="00D66EC8" w:rsidRPr="00593D4E">
        <w:rPr>
          <w:rFonts w:ascii="Times New Roman" w:hAnsi="Times New Roman" w:cs="Times New Roman"/>
          <w:b/>
          <w:lang w:val="uk-UA"/>
        </w:rPr>
        <w:t>тнографічного туризму у ВНЗ Укр</w:t>
      </w:r>
      <w:r w:rsidRPr="00593D4E">
        <w:rPr>
          <w:rFonts w:ascii="Times New Roman" w:hAnsi="Times New Roman" w:cs="Times New Roman"/>
          <w:b/>
          <w:lang w:val="uk-UA"/>
        </w:rPr>
        <w:t>аїни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Поняття «компетентність» широко використовується в сучасній педагогіці. Як бачимо, конкретні знання та уміння в сучасному суспільстві не забезпечують особистості гідне місце в житті. Натомість затребуваними сьогодні розглядаємо універсальні якості, моделі поведінки, гнучкість мислення, уміння оперувати інформацією й співпрацювати з іншими. Як зауважує Т. </w:t>
      </w:r>
      <w:proofErr w:type="spellStart"/>
      <w:r w:rsidRPr="00593D4E">
        <w:rPr>
          <w:rFonts w:ascii="Times New Roman" w:hAnsi="Times New Roman" w:cs="Times New Roman"/>
          <w:lang w:val="uk-UA"/>
        </w:rPr>
        <w:t>Смагіна</w:t>
      </w:r>
      <w:proofErr w:type="spellEnd"/>
      <w:r w:rsidRPr="00593D4E">
        <w:rPr>
          <w:rFonts w:ascii="Times New Roman" w:hAnsi="Times New Roman" w:cs="Times New Roman"/>
          <w:lang w:val="uk-UA"/>
        </w:rPr>
        <w:t>, «…компетентність – це специфічна здатність, яка дає змогу ефективно розв’язувати проблеми, що виникають в реальни</w:t>
      </w:r>
      <w:r w:rsidR="00CA550C" w:rsidRPr="00593D4E">
        <w:rPr>
          <w:rFonts w:ascii="Times New Roman" w:hAnsi="Times New Roman" w:cs="Times New Roman"/>
          <w:lang w:val="uk-UA"/>
        </w:rPr>
        <w:t>х ситуаціях життя»</w:t>
      </w:r>
      <w:r w:rsidRPr="00593D4E">
        <w:rPr>
          <w:rFonts w:ascii="Times New Roman" w:hAnsi="Times New Roman" w:cs="Times New Roman"/>
          <w:lang w:val="uk-UA"/>
        </w:rPr>
        <w:t>, тобто це певні способи мислення та практичні навички, якими людина послуговується в житті.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Слід розмежовувати категорії «компетенція» та «</w:t>
      </w:r>
      <w:proofErr w:type="spellStart"/>
      <w:r w:rsidRPr="00593D4E">
        <w:rPr>
          <w:rFonts w:ascii="Times New Roman" w:hAnsi="Times New Roman" w:cs="Times New Roman"/>
          <w:lang w:val="uk-UA"/>
        </w:rPr>
        <w:t>компетентність».Р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593D4E">
        <w:rPr>
          <w:rFonts w:ascii="Times New Roman" w:hAnsi="Times New Roman" w:cs="Times New Roman"/>
          <w:lang w:val="uk-UA"/>
        </w:rPr>
        <w:t>Скірко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зазначає: «Поняття «компетенція» означає сферу застосування знань, умінь і навичок людини, тоді як «компетентність» – семантично первинна категорія, що відображає їх </w:t>
      </w:r>
      <w:proofErr w:type="spellStart"/>
      <w:r w:rsidRPr="00593D4E">
        <w:rPr>
          <w:rFonts w:ascii="Times New Roman" w:hAnsi="Times New Roman" w:cs="Times New Roman"/>
          <w:lang w:val="uk-UA"/>
        </w:rPr>
        <w:t>інтеріоризовану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(засвоєну як особистісний досвід) сукупність. За результатами вивчення соціально-філософських джерел виявлено принципову відмінність компетенції від компетентності, яка полягає в тому, що компетенція є інституціональним поняттям, яке визначає статус особи, а компетентність є поня</w:t>
      </w:r>
      <w:r w:rsidR="00CA550C" w:rsidRPr="00593D4E">
        <w:rPr>
          <w:rFonts w:ascii="Times New Roman" w:hAnsi="Times New Roman" w:cs="Times New Roman"/>
          <w:lang w:val="uk-UA"/>
        </w:rPr>
        <w:t xml:space="preserve">ттям функціональним» </w:t>
      </w:r>
      <w:r w:rsidRPr="00593D4E">
        <w:rPr>
          <w:rFonts w:ascii="Times New Roman" w:hAnsi="Times New Roman" w:cs="Times New Roman"/>
          <w:lang w:val="uk-UA"/>
        </w:rPr>
        <w:t xml:space="preserve">. 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А. Хуторський з цього приводу підкреслює, що компетенція є наперед заданою вимогою до освітньої підготовки того, хто навчається, а компетентність є сукупністю сформованих особистісних якостей і мінімального досвіду діяльності у відповідн</w:t>
      </w:r>
      <w:r w:rsidR="00CA550C" w:rsidRPr="00593D4E">
        <w:rPr>
          <w:rFonts w:ascii="Times New Roman" w:hAnsi="Times New Roman" w:cs="Times New Roman"/>
          <w:lang w:val="uk-UA"/>
        </w:rPr>
        <w:t>ій сфері</w:t>
      </w:r>
      <w:r w:rsidRPr="00593D4E">
        <w:rPr>
          <w:rFonts w:ascii="Times New Roman" w:hAnsi="Times New Roman" w:cs="Times New Roman"/>
          <w:lang w:val="uk-UA"/>
        </w:rPr>
        <w:t>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593D4E">
        <w:rPr>
          <w:rFonts w:ascii="Times New Roman" w:hAnsi="Times New Roman" w:cs="Times New Roman"/>
          <w:lang w:val="uk-UA"/>
        </w:rPr>
        <w:lastRenderedPageBreak/>
        <w:t>Теоретико-методичні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засади </w:t>
      </w:r>
      <w:proofErr w:type="spellStart"/>
      <w:r w:rsidRPr="00593D4E">
        <w:rPr>
          <w:rFonts w:ascii="Times New Roman" w:hAnsi="Times New Roman" w:cs="Times New Roman"/>
          <w:lang w:val="uk-UA"/>
        </w:rPr>
        <w:t>компетентнісного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підходу в сучасній освіті відображено в дослідженнях європейських учених. Міжнародна комісія Ради Європи (програма «</w:t>
      </w:r>
      <w:proofErr w:type="spellStart"/>
      <w:r w:rsidRPr="00593D4E">
        <w:rPr>
          <w:rFonts w:ascii="Times New Roman" w:hAnsi="Times New Roman" w:cs="Times New Roman"/>
          <w:lang w:val="uk-UA"/>
        </w:rPr>
        <w:t>DeSeCo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» – Визначення і вибір </w:t>
      </w:r>
      <w:proofErr w:type="spellStart"/>
      <w:r w:rsidRPr="00593D4E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593D4E">
        <w:rPr>
          <w:rFonts w:ascii="Times New Roman" w:hAnsi="Times New Roman" w:cs="Times New Roman"/>
          <w:lang w:val="uk-UA"/>
        </w:rPr>
        <w:t>: «</w:t>
      </w:r>
      <w:proofErr w:type="spellStart"/>
      <w:r w:rsidRPr="00593D4E">
        <w:rPr>
          <w:rFonts w:ascii="Times New Roman" w:hAnsi="Times New Roman" w:cs="Times New Roman"/>
          <w:lang w:val="uk-UA"/>
        </w:rPr>
        <w:t>Defenition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and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Selection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of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Competencies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») пропонує таке визначення: «Компетентність – це здатність успішно задовольняти індивідуальні та соціальні потреби і виконувати поставлені завдання. Кожна компетентність побудована на комбінації (поєднанні) </w:t>
      </w:r>
      <w:proofErr w:type="spellStart"/>
      <w:r w:rsidRPr="00593D4E">
        <w:rPr>
          <w:rFonts w:ascii="Times New Roman" w:hAnsi="Times New Roman" w:cs="Times New Roman"/>
          <w:lang w:val="uk-UA"/>
        </w:rPr>
        <w:t>взаємовідповідних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пізнавальних ставлень та практичних навичок, цінностей, емоцій, поведінкових компонентів, знань і вмінь. Саме такий алгоритм є прикладом для моделювання внутрішньої структури компетентності, орієн</w:t>
      </w:r>
      <w:r w:rsidR="00CA550C" w:rsidRPr="00593D4E">
        <w:rPr>
          <w:rFonts w:ascii="Times New Roman" w:hAnsi="Times New Roman" w:cs="Times New Roman"/>
          <w:lang w:val="uk-UA"/>
        </w:rPr>
        <w:t>тованої на потреби»</w:t>
      </w:r>
      <w:r w:rsidRPr="00593D4E">
        <w:rPr>
          <w:rFonts w:ascii="Times New Roman" w:hAnsi="Times New Roman" w:cs="Times New Roman"/>
          <w:lang w:val="uk-UA"/>
        </w:rPr>
        <w:t xml:space="preserve">. І. Зимня пропонує класифікувати ключові компетентності особистості й виокремлює такі групи: 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•</w:t>
      </w:r>
      <w:r w:rsidRPr="00593D4E">
        <w:rPr>
          <w:rFonts w:ascii="Times New Roman" w:hAnsi="Times New Roman" w:cs="Times New Roman"/>
          <w:lang w:val="uk-UA"/>
        </w:rPr>
        <w:tab/>
        <w:t>стосуються самої людини як суб’єкта життєдіяльності;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•</w:t>
      </w:r>
      <w:r w:rsidRPr="00593D4E">
        <w:rPr>
          <w:rFonts w:ascii="Times New Roman" w:hAnsi="Times New Roman" w:cs="Times New Roman"/>
          <w:lang w:val="uk-UA"/>
        </w:rPr>
        <w:tab/>
        <w:t>стосуються взаємодії з іншими людьми;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•</w:t>
      </w:r>
      <w:r w:rsidRPr="00593D4E">
        <w:rPr>
          <w:rFonts w:ascii="Times New Roman" w:hAnsi="Times New Roman" w:cs="Times New Roman"/>
          <w:lang w:val="uk-UA"/>
        </w:rPr>
        <w:tab/>
        <w:t>стосуються діяльності людини в усіх її</w:t>
      </w:r>
      <w:r w:rsidR="00CA550C" w:rsidRPr="00593D4E">
        <w:rPr>
          <w:rFonts w:ascii="Times New Roman" w:hAnsi="Times New Roman" w:cs="Times New Roman"/>
          <w:lang w:val="uk-UA"/>
        </w:rPr>
        <w:t xml:space="preserve"> формах і різновидах.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У системі вищої освіти в руслі реалізації Болонського процесу також впроваджується програма «Гармонізація освітніх структур в Європі» (</w:t>
      </w:r>
      <w:proofErr w:type="spellStart"/>
      <w:r w:rsidRPr="00593D4E">
        <w:rPr>
          <w:rFonts w:ascii="Times New Roman" w:hAnsi="Times New Roman" w:cs="Times New Roman"/>
          <w:lang w:val="uk-UA"/>
        </w:rPr>
        <w:t>Tuning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Educational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Structures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in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93D4E">
        <w:rPr>
          <w:rFonts w:ascii="Times New Roman" w:hAnsi="Times New Roman" w:cs="Times New Roman"/>
          <w:lang w:val="uk-UA"/>
        </w:rPr>
        <w:t>Europe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). Відповідно до неї визначення кінцевих результатів навчання та </w:t>
      </w:r>
      <w:proofErr w:type="spellStart"/>
      <w:r w:rsidRPr="00593D4E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розглядається в комплексному проекті «</w:t>
      </w:r>
      <w:proofErr w:type="spellStart"/>
      <w:r w:rsidRPr="00593D4E">
        <w:rPr>
          <w:rFonts w:ascii="Times New Roman" w:hAnsi="Times New Roman" w:cs="Times New Roman"/>
          <w:lang w:val="uk-UA"/>
        </w:rPr>
        <w:t>Тьюнінг</w:t>
      </w:r>
      <w:proofErr w:type="spellEnd"/>
      <w:r w:rsidRPr="00593D4E">
        <w:rPr>
          <w:rFonts w:ascii="Times New Roman" w:hAnsi="Times New Roman" w:cs="Times New Roman"/>
          <w:lang w:val="uk-UA"/>
        </w:rPr>
        <w:t>» (</w:t>
      </w:r>
      <w:proofErr w:type="spellStart"/>
      <w:r w:rsidRPr="00593D4E">
        <w:rPr>
          <w:rFonts w:ascii="Times New Roman" w:hAnsi="Times New Roman" w:cs="Times New Roman"/>
          <w:lang w:val="uk-UA"/>
        </w:rPr>
        <w:t>Tuning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). Його впровадження повинно забезпечити </w:t>
      </w:r>
      <w:proofErr w:type="spellStart"/>
      <w:r w:rsidRPr="00593D4E">
        <w:rPr>
          <w:rFonts w:ascii="Times New Roman" w:hAnsi="Times New Roman" w:cs="Times New Roman"/>
          <w:lang w:val="uk-UA"/>
        </w:rPr>
        <w:t>порівняльність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, сумісність та прозорість навчальних програм системи вищої освіти в різних країнах. Компетентність у проекті визначено як «…динамічне поєднання когнітивних та </w:t>
      </w:r>
      <w:proofErr w:type="spellStart"/>
      <w:r w:rsidRPr="00593D4E">
        <w:rPr>
          <w:rFonts w:ascii="Times New Roman" w:hAnsi="Times New Roman" w:cs="Times New Roman"/>
          <w:lang w:val="uk-UA"/>
        </w:rPr>
        <w:t>метакогнітивних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умінь, навичок, знань та розумінь, міжособистісних, розумових та практичних умінь, навичок </w:t>
      </w:r>
      <w:r w:rsidR="00CA550C" w:rsidRPr="00593D4E">
        <w:rPr>
          <w:rFonts w:ascii="Times New Roman" w:hAnsi="Times New Roman" w:cs="Times New Roman"/>
          <w:lang w:val="uk-UA"/>
        </w:rPr>
        <w:t>і етичних цінностей»</w:t>
      </w:r>
      <w:r w:rsidRPr="00593D4E">
        <w:rPr>
          <w:rFonts w:ascii="Times New Roman" w:hAnsi="Times New Roman" w:cs="Times New Roman"/>
          <w:lang w:val="uk-UA"/>
        </w:rPr>
        <w:t>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Якість результатів професійної підготовки у ВНЗ зумовлюється сучасними вимогами суспільства й визначає відповідний рівень професійної компетентності випускників. У </w:t>
      </w:r>
      <w:r w:rsidRPr="00593D4E">
        <w:rPr>
          <w:rFonts w:ascii="Times New Roman" w:hAnsi="Times New Roman" w:cs="Times New Roman"/>
          <w:lang w:val="uk-UA"/>
        </w:rPr>
        <w:lastRenderedPageBreak/>
        <w:t xml:space="preserve">Законі України «Про вищу освіту» зазначено: «…компетентність – динамічна комбінація знань, вмінь і практичних навичок, способів мислення, професійних, світоглядних і громадянських якостей, морально-етичних цінностей, яка визначає здатність особи успішно здійснювати професійну та подальшу навчальну діяльність і є результатом навчання на </w:t>
      </w:r>
      <w:r w:rsidR="00CA550C" w:rsidRPr="00593D4E">
        <w:rPr>
          <w:rFonts w:ascii="Times New Roman" w:hAnsi="Times New Roman" w:cs="Times New Roman"/>
          <w:lang w:val="uk-UA"/>
        </w:rPr>
        <w:t>певному рівні вищої освіти»</w:t>
      </w:r>
      <w:r w:rsidRPr="00593D4E">
        <w:rPr>
          <w:rFonts w:ascii="Times New Roman" w:hAnsi="Times New Roman" w:cs="Times New Roman"/>
          <w:lang w:val="uk-UA"/>
        </w:rPr>
        <w:t xml:space="preserve">. 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Відповідно якість вищої освіти в контексті її модернізації визначається не наявністю знань, умінь і навичок, а характеризує уміння людини їх мобілізувати для розв’язання конкретних професійних завдань у потрібний момент.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Визначення змісту поняття «компетентність фахівця» пропонує Ю. </w:t>
      </w:r>
      <w:proofErr w:type="spellStart"/>
      <w:r w:rsidRPr="00593D4E">
        <w:rPr>
          <w:rFonts w:ascii="Times New Roman" w:hAnsi="Times New Roman" w:cs="Times New Roman"/>
          <w:lang w:val="uk-UA"/>
        </w:rPr>
        <w:t>Татур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і наголошує на тому, що «…це прояв на практиці його прагнення і здібності (готовності) реалізувати свій потенціал (знання, вміння, досвід, особистісні якості та ін.). Для успішної продуктивної діяльності у професійній та соціальній сферах, усвідомлюючи соціальну значущість і особисту відповідальність за результати цієї діяльності, необхідно її постійно вдоск</w:t>
      </w:r>
      <w:r w:rsidR="00CA550C" w:rsidRPr="00593D4E">
        <w:rPr>
          <w:rFonts w:ascii="Times New Roman" w:hAnsi="Times New Roman" w:cs="Times New Roman"/>
          <w:lang w:val="uk-UA"/>
        </w:rPr>
        <w:t>оналювати»</w:t>
      </w:r>
      <w:r w:rsidRPr="00593D4E">
        <w:rPr>
          <w:rFonts w:ascii="Times New Roman" w:hAnsi="Times New Roman" w:cs="Times New Roman"/>
          <w:lang w:val="uk-UA"/>
        </w:rPr>
        <w:t xml:space="preserve">. 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Як стверджує В. </w:t>
      </w:r>
      <w:proofErr w:type="spellStart"/>
      <w:r w:rsidRPr="00593D4E">
        <w:rPr>
          <w:rFonts w:ascii="Times New Roman" w:hAnsi="Times New Roman" w:cs="Times New Roman"/>
          <w:lang w:val="uk-UA"/>
        </w:rPr>
        <w:t>Лозовецька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, «…професійна компетентність – це інтегративна якість, яка включає рівень оволодіння професійними знаннями, уміннями та навичками, а також особистісну компетентність, яка виявляється, перш за все, у </w:t>
      </w:r>
      <w:proofErr w:type="spellStart"/>
      <w:r w:rsidRPr="00593D4E">
        <w:rPr>
          <w:rFonts w:ascii="Times New Roman" w:hAnsi="Times New Roman" w:cs="Times New Roman"/>
          <w:lang w:val="uk-UA"/>
        </w:rPr>
        <w:t>комунікативності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, творчості і креативності. Важливими є також особистісна варіативність, гнучкість, готовність до постійного саморозвитку та самовдосконалення. Особистісний компонент професійної компетентності зумовлює здатність спеціаліста до самостійного вибору власної стратегії професійної діяльності </w:t>
      </w:r>
      <w:r w:rsidR="00CA550C" w:rsidRPr="00593D4E">
        <w:rPr>
          <w:rFonts w:ascii="Times New Roman" w:hAnsi="Times New Roman" w:cs="Times New Roman"/>
          <w:lang w:val="uk-UA"/>
        </w:rPr>
        <w:t>в нових умовах праці»</w:t>
      </w:r>
      <w:r w:rsidRPr="00593D4E">
        <w:rPr>
          <w:rFonts w:ascii="Times New Roman" w:hAnsi="Times New Roman" w:cs="Times New Roman"/>
          <w:lang w:val="uk-UA"/>
        </w:rPr>
        <w:t>. У її структурі дослідниця виокремлює власне професійну, соціально-комунікативну компетентність та самоуправління.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А. Маркова вважає, що професійна компетентність є сукупністю психічних якостей, психічних станів, які дозволяють діяти самостійно і відповідально, уміння і здатність людини </w:t>
      </w:r>
      <w:r w:rsidRPr="00593D4E">
        <w:rPr>
          <w:rFonts w:ascii="Times New Roman" w:hAnsi="Times New Roman" w:cs="Times New Roman"/>
          <w:lang w:val="uk-UA"/>
        </w:rPr>
        <w:lastRenderedPageBreak/>
        <w:t>виконувати певні</w:t>
      </w:r>
      <w:r w:rsidR="00CA550C" w:rsidRPr="00593D4E">
        <w:rPr>
          <w:rFonts w:ascii="Times New Roman" w:hAnsi="Times New Roman" w:cs="Times New Roman"/>
          <w:lang w:val="uk-UA"/>
        </w:rPr>
        <w:t xml:space="preserve"> професійні функції</w:t>
      </w:r>
      <w:r w:rsidRPr="00593D4E">
        <w:rPr>
          <w:rFonts w:ascii="Times New Roman" w:hAnsi="Times New Roman" w:cs="Times New Roman"/>
          <w:lang w:val="uk-UA"/>
        </w:rPr>
        <w:t xml:space="preserve">. У посібнику «Психологія професіоналізму» російська авторка обґрунтовує такі види </w:t>
      </w:r>
      <w:proofErr w:type="spellStart"/>
      <w:r w:rsidRPr="00593D4E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593D4E">
        <w:rPr>
          <w:rFonts w:ascii="Times New Roman" w:hAnsi="Times New Roman" w:cs="Times New Roman"/>
          <w:lang w:val="uk-UA"/>
        </w:rPr>
        <w:t>: спеціальна, соціальна, особистісна, ін</w:t>
      </w:r>
      <w:r w:rsidR="00CA550C" w:rsidRPr="00593D4E">
        <w:rPr>
          <w:rFonts w:ascii="Times New Roman" w:hAnsi="Times New Roman" w:cs="Times New Roman"/>
          <w:lang w:val="uk-UA"/>
        </w:rPr>
        <w:t xml:space="preserve">дивідуальна. І. </w:t>
      </w:r>
      <w:proofErr w:type="spellStart"/>
      <w:r w:rsidR="00CA550C" w:rsidRPr="00593D4E">
        <w:rPr>
          <w:rFonts w:ascii="Times New Roman" w:hAnsi="Times New Roman" w:cs="Times New Roman"/>
          <w:lang w:val="uk-UA"/>
        </w:rPr>
        <w:t>Болотнікова</w:t>
      </w:r>
      <w:proofErr w:type="spellEnd"/>
      <w:r w:rsidR="00CA550C" w:rsidRPr="00593D4E">
        <w:rPr>
          <w:rFonts w:ascii="Times New Roman" w:hAnsi="Times New Roman" w:cs="Times New Roman"/>
          <w:lang w:val="uk-UA"/>
        </w:rPr>
        <w:t xml:space="preserve"> </w:t>
      </w:r>
      <w:r w:rsidRPr="00593D4E">
        <w:rPr>
          <w:rFonts w:ascii="Times New Roman" w:hAnsi="Times New Roman" w:cs="Times New Roman"/>
          <w:lang w:val="uk-UA"/>
        </w:rPr>
        <w:t xml:space="preserve"> вказує, що професійна компетентність та професіоналізм є складниками психічної зрілості особистості і доповнює </w:t>
      </w:r>
      <w:proofErr w:type="spellStart"/>
      <w:r w:rsidRPr="00593D4E">
        <w:rPr>
          <w:rFonts w:ascii="Times New Roman" w:hAnsi="Times New Roman" w:cs="Times New Roman"/>
          <w:lang w:val="uk-UA"/>
        </w:rPr>
        <w:t>виокремлені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А. Марковою види екстремальною компетентністю. Це видове розмаїття </w:t>
      </w:r>
      <w:proofErr w:type="spellStart"/>
      <w:r w:rsidRPr="00593D4E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характеризує рівень професіоналізму працівників у різних сферах. А саме: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1) спеціальна – володіння власне професійною діяльністю на досить високому рівні,  здатність проектувати свій подальший професійний розвиток;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2) соціальна – володіння спільною (груповою, кооперативною) професійною діяльністю, співпрацею, а також прийнятими в цій професії прийомами професійного спілкування; соціальна відповідальність за результати своєї професійної праці;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>3) особистісна – володіння прийомами особистісного самовиявлення й саморозвитку, засобами протистояння професійній деформації особистості;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4) індивідуальна – володіння прийомами самореалізації і розвитку індивідуальності в межах професії, готовність до професійного росту, здатність до індивідуального самозбереження, стійкість до професійного старіння, уміння раціонально організувати власну працю без перевантаження часу й сил, здійснювати її без напруження, втоми і навіть із дещо </w:t>
      </w:r>
      <w:proofErr w:type="spellStart"/>
      <w:r w:rsidRPr="00593D4E">
        <w:rPr>
          <w:rFonts w:ascii="Times New Roman" w:hAnsi="Times New Roman" w:cs="Times New Roman"/>
          <w:lang w:val="uk-UA"/>
        </w:rPr>
        <w:t>активізуючим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ефектом;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5) екстремальна – готовність до роботи в ситуації раптового ускладнення, що виявляється в здатності розв’язувати проблеми, пов’язані зі зміною професії, перенавчанням, і, як результат – </w:t>
      </w:r>
      <w:r w:rsidR="00CA550C" w:rsidRPr="00593D4E">
        <w:rPr>
          <w:rFonts w:ascii="Times New Roman" w:hAnsi="Times New Roman" w:cs="Times New Roman"/>
          <w:lang w:val="uk-UA"/>
        </w:rPr>
        <w:t>зменшення ризику безробіття</w:t>
      </w:r>
      <w:r w:rsidRPr="00593D4E">
        <w:rPr>
          <w:rFonts w:ascii="Times New Roman" w:hAnsi="Times New Roman" w:cs="Times New Roman"/>
          <w:lang w:val="uk-UA"/>
        </w:rPr>
        <w:t>.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Отже, науковці розглядають професійну компетентність як системну, інтегровану цілісну категорію, взаємозв’язок знань, </w:t>
      </w:r>
      <w:r w:rsidRPr="00593D4E">
        <w:rPr>
          <w:rFonts w:ascii="Times New Roman" w:hAnsi="Times New Roman" w:cs="Times New Roman"/>
          <w:lang w:val="uk-UA"/>
        </w:rPr>
        <w:lastRenderedPageBreak/>
        <w:t xml:space="preserve">умінь, навичок, особистісних якостей (цінності, риси характеру, рівень креативності, активності, відкритості новому), що дозволяє людині успішно </w:t>
      </w:r>
      <w:proofErr w:type="spellStart"/>
      <w:r w:rsidRPr="00593D4E">
        <w:rPr>
          <w:rFonts w:ascii="Times New Roman" w:hAnsi="Times New Roman" w:cs="Times New Roman"/>
          <w:lang w:val="uk-UA"/>
        </w:rPr>
        <w:t>самореалізуватись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у професійній діяльності, використати власний потенціал, оперативно адаптуватися до змінних умов. </w:t>
      </w:r>
    </w:p>
    <w:p w:rsidR="00236F47" w:rsidRPr="00593D4E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На доцільність застосування категорії «професійна компетентність» у контексті підготовки майбутніх фахівців указує його </w:t>
      </w:r>
      <w:proofErr w:type="spellStart"/>
      <w:r w:rsidRPr="00593D4E">
        <w:rPr>
          <w:rFonts w:ascii="Times New Roman" w:hAnsi="Times New Roman" w:cs="Times New Roman"/>
          <w:lang w:val="uk-UA"/>
        </w:rPr>
        <w:t>інтегративність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і системність (поєднання понять «професіоналізм», «кваліфікація», «професійні здібності» тощо).</w:t>
      </w:r>
    </w:p>
    <w:p w:rsidR="00D66EC8" w:rsidRDefault="00236F47" w:rsidP="00593D4E">
      <w:pPr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593D4E">
        <w:rPr>
          <w:rFonts w:ascii="Times New Roman" w:hAnsi="Times New Roman" w:cs="Times New Roman"/>
          <w:lang w:val="uk-UA"/>
        </w:rPr>
        <w:t xml:space="preserve">І. </w:t>
      </w:r>
      <w:proofErr w:type="spellStart"/>
      <w:r w:rsidRPr="00593D4E">
        <w:rPr>
          <w:rFonts w:ascii="Times New Roman" w:hAnsi="Times New Roman" w:cs="Times New Roman"/>
          <w:lang w:val="uk-UA"/>
        </w:rPr>
        <w:t>Саух</w:t>
      </w:r>
      <w:proofErr w:type="spellEnd"/>
      <w:r w:rsidRPr="00593D4E">
        <w:rPr>
          <w:rFonts w:ascii="Times New Roman" w:hAnsi="Times New Roman" w:cs="Times New Roman"/>
          <w:lang w:val="uk-UA"/>
        </w:rPr>
        <w:t xml:space="preserve"> визначає професійну компетентність менеджера туризму як «…найбільш загальну характеристику здатності фахівця ефективно виконувати професійні обов’язки  (функції) у своїй професійній сфері діяльності (туристичній індустрії), своєрідний вимірник, індикатор, якісно-кількісну характеристику рівня професіоналізму …важливий аспект його професійної культури, здатність до здійснення стратегічних, аналітичних, організаційно-розпорядчих, консультативно-дорадчих, контрольних функцій та ефективної самореалізації в умовах практичної діяльності на підставі спеціальних знань, умінь, цінностей, необхідних для професійної діяльності у сф</w:t>
      </w:r>
      <w:r w:rsidR="00CA550C" w:rsidRPr="00593D4E">
        <w:rPr>
          <w:rFonts w:ascii="Times New Roman" w:hAnsi="Times New Roman" w:cs="Times New Roman"/>
          <w:lang w:val="uk-UA"/>
        </w:rPr>
        <w:t>ері туристичної індустрії»</w:t>
      </w:r>
      <w:r w:rsidRPr="00593D4E">
        <w:rPr>
          <w:rFonts w:ascii="Times New Roman" w:hAnsi="Times New Roman" w:cs="Times New Roman"/>
          <w:lang w:val="uk-UA"/>
        </w:rPr>
        <w:t>.</w:t>
      </w:r>
    </w:p>
    <w:p w:rsidR="00F06283" w:rsidRDefault="00F06283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F06283">
        <w:rPr>
          <w:rFonts w:ascii="Times New Roman" w:hAnsi="Times New Roman" w:cs="Times New Roman"/>
          <w:sz w:val="18"/>
          <w:szCs w:val="18"/>
          <w:lang w:val="uk-UA"/>
        </w:rPr>
        <w:t>Список використаних джерел</w:t>
      </w:r>
    </w:p>
    <w:p w:rsidR="00C6686F" w:rsidRPr="008E32D8" w:rsidRDefault="008E32D8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1</w:t>
      </w:r>
      <w:r w:rsidRPr="008E32D8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C6686F" w:rsidRPr="00C6686F">
        <w:rPr>
          <w:rFonts w:ascii="Times New Roman" w:hAnsi="Times New Roman" w:cs="Times New Roman"/>
          <w:sz w:val="18"/>
          <w:szCs w:val="18"/>
          <w:lang w:val="uk-UA"/>
        </w:rPr>
        <w:t xml:space="preserve">Болотнікова І. В. Професіоналізм та професійна компетентність як складові психічної зрілості особистості / І. В. </w:t>
      </w:r>
      <w:proofErr w:type="spellStart"/>
      <w:r w:rsidR="00C6686F" w:rsidRPr="00C6686F">
        <w:rPr>
          <w:rFonts w:ascii="Times New Roman" w:hAnsi="Times New Roman" w:cs="Times New Roman"/>
          <w:sz w:val="18"/>
          <w:szCs w:val="18"/>
          <w:lang w:val="uk-UA"/>
        </w:rPr>
        <w:t>Болотнікова</w:t>
      </w:r>
      <w:proofErr w:type="spellEnd"/>
      <w:r w:rsidR="00C6686F" w:rsidRPr="00C6686F">
        <w:rPr>
          <w:rFonts w:ascii="Times New Roman" w:hAnsi="Times New Roman" w:cs="Times New Roman"/>
          <w:sz w:val="18"/>
          <w:szCs w:val="18"/>
          <w:lang w:val="uk-UA"/>
        </w:rPr>
        <w:t xml:space="preserve"> [Електронний ресурс]. – Режим доступу: </w:t>
      </w:r>
      <w:hyperlink r:id="rId5" w:history="1"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uk-UA"/>
          </w:rPr>
          <w:t>http://www.rusnauka.com/7_NND_2009/Psihologia/42691.doc.htm</w:t>
        </w:r>
      </w:hyperlink>
    </w:p>
    <w:p w:rsidR="008E32D8" w:rsidRPr="008E32D8" w:rsidRDefault="008E32D8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8E32D8">
        <w:rPr>
          <w:rFonts w:ascii="Times New Roman" w:hAnsi="Times New Roman" w:cs="Times New Roman"/>
          <w:sz w:val="18"/>
          <w:szCs w:val="18"/>
        </w:rPr>
        <w:t>2.</w:t>
      </w:r>
      <w:r w:rsidRPr="008E32D8">
        <w:t xml:space="preserve"> </w:t>
      </w:r>
      <w:r w:rsidRPr="008E32D8">
        <w:rPr>
          <w:rFonts w:ascii="Times New Roman" w:hAnsi="Times New Roman" w:cs="Times New Roman"/>
          <w:sz w:val="18"/>
          <w:szCs w:val="18"/>
        </w:rPr>
        <w:t xml:space="preserve">Закон </w:t>
      </w:r>
      <w:proofErr w:type="spellStart"/>
      <w:r w:rsidRPr="008E32D8">
        <w:rPr>
          <w:rFonts w:ascii="Times New Roman" w:hAnsi="Times New Roman" w:cs="Times New Roman"/>
          <w:sz w:val="18"/>
          <w:szCs w:val="18"/>
        </w:rPr>
        <w:t>України</w:t>
      </w:r>
      <w:proofErr w:type="spellEnd"/>
      <w:r w:rsidRPr="008E32D8">
        <w:rPr>
          <w:rFonts w:ascii="Times New Roman" w:hAnsi="Times New Roman" w:cs="Times New Roman"/>
          <w:sz w:val="18"/>
          <w:szCs w:val="18"/>
        </w:rPr>
        <w:t xml:space="preserve"> «Про </w:t>
      </w:r>
      <w:proofErr w:type="spellStart"/>
      <w:r w:rsidRPr="008E32D8">
        <w:rPr>
          <w:rFonts w:ascii="Times New Roman" w:hAnsi="Times New Roman" w:cs="Times New Roman"/>
          <w:sz w:val="18"/>
          <w:szCs w:val="18"/>
        </w:rPr>
        <w:t>вищу</w:t>
      </w:r>
      <w:proofErr w:type="spellEnd"/>
      <w:r w:rsidRPr="008E32D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</w:rPr>
        <w:t>освіту</w:t>
      </w:r>
      <w:proofErr w:type="spellEnd"/>
      <w:r w:rsidRPr="008E32D8">
        <w:rPr>
          <w:rFonts w:ascii="Times New Roman" w:hAnsi="Times New Roman" w:cs="Times New Roman"/>
          <w:sz w:val="18"/>
          <w:szCs w:val="18"/>
        </w:rPr>
        <w:t>» / [</w:t>
      </w:r>
      <w:proofErr w:type="spellStart"/>
      <w:r w:rsidRPr="008E32D8">
        <w:rPr>
          <w:rFonts w:ascii="Times New Roman" w:hAnsi="Times New Roman" w:cs="Times New Roman"/>
          <w:sz w:val="18"/>
          <w:szCs w:val="18"/>
        </w:rPr>
        <w:t>Електронний</w:t>
      </w:r>
      <w:proofErr w:type="spellEnd"/>
      <w:r w:rsidRPr="008E32D8">
        <w:rPr>
          <w:rFonts w:ascii="Times New Roman" w:hAnsi="Times New Roman" w:cs="Times New Roman"/>
          <w:sz w:val="18"/>
          <w:szCs w:val="18"/>
        </w:rPr>
        <w:t xml:space="preserve"> ресурс]. – Режим доступу: </w:t>
      </w:r>
      <w:hyperlink r:id="rId6" w:history="1"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proofErr w:type="spellStart"/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zakon</w:t>
        </w:r>
        <w:proofErr w:type="spellEnd"/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1.</w:t>
        </w:r>
        <w:proofErr w:type="spellStart"/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rada</w:t>
        </w:r>
        <w:proofErr w:type="spellEnd"/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gov</w:t>
        </w:r>
        <w:proofErr w:type="spellEnd"/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ua</w:t>
        </w:r>
        <w:proofErr w:type="spellEnd"/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laws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show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/1556-18/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print</w:t>
        </w:r>
        <w:r w:rsidRPr="0038527B">
          <w:rPr>
            <w:rStyle w:val="a3"/>
            <w:rFonts w:ascii="Times New Roman" w:hAnsi="Times New Roman" w:cs="Times New Roman"/>
            <w:sz w:val="18"/>
            <w:szCs w:val="18"/>
          </w:rPr>
          <w:t>1402759724905695</w:t>
        </w:r>
      </w:hyperlink>
    </w:p>
    <w:p w:rsidR="008E32D8" w:rsidRDefault="008E32D8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8E32D8">
        <w:rPr>
          <w:rFonts w:ascii="Times New Roman" w:hAnsi="Times New Roman" w:cs="Times New Roman"/>
          <w:sz w:val="18"/>
          <w:szCs w:val="18"/>
        </w:rPr>
        <w:t>3.</w:t>
      </w:r>
      <w:r w:rsidRPr="008E32D8">
        <w:t xml:space="preserve"> </w:t>
      </w:r>
      <w:r w:rsidRPr="008E32D8">
        <w:rPr>
          <w:rFonts w:ascii="Times New Roman" w:hAnsi="Times New Roman" w:cs="Times New Roman"/>
          <w:sz w:val="18"/>
          <w:szCs w:val="18"/>
        </w:rPr>
        <w:t xml:space="preserve">Зимняя И. А. Ключевые компетентности как результативно-целевая основа </w:t>
      </w:r>
      <w:proofErr w:type="spellStart"/>
      <w:r w:rsidRPr="008E32D8">
        <w:rPr>
          <w:rFonts w:ascii="Times New Roman" w:hAnsi="Times New Roman" w:cs="Times New Roman"/>
          <w:sz w:val="18"/>
          <w:szCs w:val="18"/>
        </w:rPr>
        <w:t>компетентностного</w:t>
      </w:r>
      <w:proofErr w:type="spellEnd"/>
      <w:r w:rsidRPr="008E32D8">
        <w:rPr>
          <w:rFonts w:ascii="Times New Roman" w:hAnsi="Times New Roman" w:cs="Times New Roman"/>
          <w:sz w:val="18"/>
          <w:szCs w:val="18"/>
        </w:rPr>
        <w:t xml:space="preserve"> подхода в образовании. Авторская версия // И. А. Зимняя – М.: Исследовательский центр проблем качества подготовки специалистов, 2004. – 20 с.</w:t>
      </w:r>
    </w:p>
    <w:p w:rsidR="008E32D8" w:rsidRDefault="008E32D8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4.</w:t>
      </w:r>
      <w:r w:rsidRPr="008E32D8">
        <w:rPr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Лозовецька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В. Т.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Теоретико-методологічні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засади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формування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професійної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компетентності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фахівця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сфери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послуг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і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туризму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в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умовах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ринкового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середовища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/ В. Т.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Лозовецька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//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Формування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професійної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lastRenderedPageBreak/>
        <w:t>компетентності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фахівця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сфери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послуг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і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туризму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навчально-методичний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посібник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/ [В. Т.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Лозовецька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, Л. Б.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Лук’янова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, Л. В.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Козак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та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ін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.]. </w:t>
      </w:r>
      <w:proofErr w:type="spellStart"/>
      <w:proofErr w:type="gram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За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заг.ред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8E32D8">
        <w:rPr>
          <w:rFonts w:ascii="Times New Roman" w:hAnsi="Times New Roman" w:cs="Times New Roman"/>
          <w:sz w:val="18"/>
          <w:szCs w:val="18"/>
          <w:lang w:val="en-US"/>
        </w:rPr>
        <w:t>Лозовецької</w:t>
      </w:r>
      <w:proofErr w:type="spell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В. Т. – К, 2010.</w:t>
      </w:r>
      <w:proofErr w:type="gramEnd"/>
      <w:r w:rsidRPr="008E32D8"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proofErr w:type="gramStart"/>
      <w:r w:rsidRPr="008E32D8">
        <w:rPr>
          <w:rFonts w:ascii="Times New Roman" w:hAnsi="Times New Roman" w:cs="Times New Roman"/>
          <w:sz w:val="18"/>
          <w:szCs w:val="18"/>
          <w:lang w:val="en-US"/>
        </w:rPr>
        <w:t>С. 10</w:t>
      </w:r>
      <w:proofErr w:type="gramEnd"/>
      <w:r w:rsidRPr="008E32D8">
        <w:rPr>
          <w:rFonts w:ascii="Times New Roman" w:hAnsi="Times New Roman" w:cs="Times New Roman"/>
          <w:sz w:val="18"/>
          <w:szCs w:val="18"/>
          <w:lang w:val="en-US"/>
        </w:rPr>
        <w:t>–86.</w:t>
      </w:r>
    </w:p>
    <w:p w:rsidR="008E32D8" w:rsidRPr="00EE391E" w:rsidRDefault="008E32D8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E391E">
        <w:rPr>
          <w:rFonts w:ascii="Times New Roman" w:hAnsi="Times New Roman" w:cs="Times New Roman"/>
          <w:sz w:val="18"/>
          <w:szCs w:val="18"/>
        </w:rPr>
        <w:t>5.</w:t>
      </w:r>
      <w:r w:rsidR="00EE391E" w:rsidRPr="00EE391E">
        <w:t xml:space="preserve">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Саух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І. В.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Моделі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професійної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компетентності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менеджера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туристичної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індустрії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як основа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конкурентоспроможності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галузі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/ І. В.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Саух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//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Економіка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Управління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Інновації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>. – 2010 р. – № 2(4) [</w:t>
      </w:r>
      <w:proofErr w:type="spellStart"/>
      <w:r w:rsidR="00EE391E" w:rsidRPr="00EE391E">
        <w:rPr>
          <w:rFonts w:ascii="Times New Roman" w:hAnsi="Times New Roman" w:cs="Times New Roman"/>
          <w:sz w:val="18"/>
          <w:szCs w:val="18"/>
        </w:rPr>
        <w:t>Електронний</w:t>
      </w:r>
      <w:proofErr w:type="spellEnd"/>
      <w:r w:rsidR="00EE391E" w:rsidRPr="00EE391E">
        <w:rPr>
          <w:rFonts w:ascii="Times New Roman" w:hAnsi="Times New Roman" w:cs="Times New Roman"/>
          <w:sz w:val="18"/>
          <w:szCs w:val="18"/>
        </w:rPr>
        <w:t xml:space="preserve"> ресурс]. – Режим доступу: </w:t>
      </w:r>
      <w:hyperlink r:id="rId7" w:history="1"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firearticles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com</w:t>
        </w:r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menedjment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ukr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/292-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modeli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kompetentnosti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menedzhera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turystychnoi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proofErr w:type="spellStart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industrii</w:t>
        </w:r>
        <w:proofErr w:type="spellEnd"/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EE391E" w:rsidRPr="0038527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html</w:t>
        </w:r>
      </w:hyperlink>
    </w:p>
    <w:p w:rsidR="00EE391E" w:rsidRDefault="00EE391E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EE391E">
        <w:rPr>
          <w:rFonts w:ascii="Times New Roman" w:hAnsi="Times New Roman" w:cs="Times New Roman"/>
          <w:sz w:val="18"/>
          <w:szCs w:val="18"/>
        </w:rPr>
        <w:t>6.</w:t>
      </w:r>
      <w:r w:rsidRPr="00EE391E"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Скірко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Р.Л.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Формування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EE391E">
        <w:rPr>
          <w:rFonts w:ascii="Times New Roman" w:hAnsi="Times New Roman" w:cs="Times New Roman"/>
          <w:sz w:val="18"/>
          <w:szCs w:val="18"/>
        </w:rPr>
        <w:t>соц</w:t>
      </w:r>
      <w:proofErr w:type="gramEnd"/>
      <w:r w:rsidRPr="00EE391E">
        <w:rPr>
          <w:rFonts w:ascii="Times New Roman" w:hAnsi="Times New Roman" w:cs="Times New Roman"/>
          <w:sz w:val="18"/>
          <w:szCs w:val="18"/>
        </w:rPr>
        <w:t>іальної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компетентності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майбутніх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практичних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психологів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процесі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професійної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підготовки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автореф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дис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. ... канд.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пед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. наук: 13.00.04 /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Скірко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Р. Л. –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Запоріжжя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>, 2010. – 22 с.</w:t>
      </w:r>
    </w:p>
    <w:p w:rsidR="00EE391E" w:rsidRDefault="00EE391E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EE391E">
        <w:rPr>
          <w:rFonts w:ascii="Times New Roman" w:hAnsi="Times New Roman" w:cs="Times New Roman"/>
          <w:sz w:val="18"/>
          <w:szCs w:val="18"/>
        </w:rPr>
        <w:t>7.</w:t>
      </w:r>
      <w:r w:rsidRPr="00EE391E"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Смагіна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Т.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Поняття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та структура </w:t>
      </w:r>
      <w:proofErr w:type="spellStart"/>
      <w:proofErr w:type="gramStart"/>
      <w:r w:rsidRPr="00EE391E">
        <w:rPr>
          <w:rFonts w:ascii="Times New Roman" w:hAnsi="Times New Roman" w:cs="Times New Roman"/>
          <w:sz w:val="18"/>
          <w:szCs w:val="18"/>
        </w:rPr>
        <w:t>соц</w:t>
      </w:r>
      <w:proofErr w:type="gramEnd"/>
      <w:r w:rsidRPr="00EE391E">
        <w:rPr>
          <w:rFonts w:ascii="Times New Roman" w:hAnsi="Times New Roman" w:cs="Times New Roman"/>
          <w:sz w:val="18"/>
          <w:szCs w:val="18"/>
        </w:rPr>
        <w:t>іальної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компетентності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учнів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як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наукова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проблема / Т.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Смагіна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//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Вісник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Житомирського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державного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університету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Педагогічні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науки. –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Випуск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50. – 2010. – С. 138–142.</w:t>
      </w:r>
    </w:p>
    <w:p w:rsidR="00EE391E" w:rsidRDefault="00EE391E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EE391E">
        <w:rPr>
          <w:rFonts w:ascii="Times New Roman" w:hAnsi="Times New Roman" w:cs="Times New Roman"/>
          <w:sz w:val="18"/>
          <w:szCs w:val="18"/>
        </w:rPr>
        <w:t>8.</w:t>
      </w:r>
      <w:r w:rsidRPr="00EE391E">
        <w:t xml:space="preserve">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Татур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Ю. Г.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Компетентностный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 подход в описании результатов и проектировании стандартов высшего профессионального образования: Материалы ко второму заседанию методологического семинара. Авторская помощь / Ю. Г. 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Татур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>. – М.: Исследовательский центр проблем качества подготовки специалистов, 2004. – 68 с.</w:t>
      </w:r>
    </w:p>
    <w:p w:rsidR="00EE391E" w:rsidRPr="00EE391E" w:rsidRDefault="00EE391E" w:rsidP="00593D4E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EE391E">
        <w:rPr>
          <w:rFonts w:ascii="Times New Roman" w:hAnsi="Times New Roman" w:cs="Times New Roman"/>
          <w:sz w:val="18"/>
          <w:szCs w:val="18"/>
        </w:rPr>
        <w:t>9.</w:t>
      </w:r>
      <w:r w:rsidRPr="00EE391E">
        <w:t xml:space="preserve"> </w:t>
      </w:r>
      <w:bookmarkStart w:id="0" w:name="_GoBack"/>
      <w:bookmarkEnd w:id="0"/>
      <w:r w:rsidRPr="00EE391E">
        <w:rPr>
          <w:rFonts w:ascii="Times New Roman" w:hAnsi="Times New Roman" w:cs="Times New Roman"/>
          <w:sz w:val="18"/>
          <w:szCs w:val="18"/>
        </w:rPr>
        <w:t>Хуторской А. В. Технология проектирования ключевых и предметных компетенций / А. В. Хуторской // Интернет-журнал «</w:t>
      </w:r>
      <w:proofErr w:type="spellStart"/>
      <w:r w:rsidRPr="00EE391E">
        <w:rPr>
          <w:rFonts w:ascii="Times New Roman" w:hAnsi="Times New Roman" w:cs="Times New Roman"/>
          <w:sz w:val="18"/>
          <w:szCs w:val="18"/>
        </w:rPr>
        <w:t>Эйдос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 xml:space="preserve">». – 2005. – 12 декабря [Электронный ресурс] – Режим доступа: </w:t>
      </w:r>
      <w:r w:rsidRPr="00EE391E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EE391E">
        <w:rPr>
          <w:rFonts w:ascii="Times New Roman" w:hAnsi="Times New Roman" w:cs="Times New Roman"/>
          <w:sz w:val="18"/>
          <w:szCs w:val="18"/>
        </w:rPr>
        <w:t>://</w:t>
      </w:r>
      <w:r w:rsidRPr="00EE391E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EE391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E391E">
        <w:rPr>
          <w:rFonts w:ascii="Times New Roman" w:hAnsi="Times New Roman" w:cs="Times New Roman"/>
          <w:sz w:val="18"/>
          <w:szCs w:val="18"/>
          <w:lang w:val="en-US"/>
        </w:rPr>
        <w:t>eidos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E391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EE391E">
        <w:rPr>
          <w:rFonts w:ascii="Times New Roman" w:hAnsi="Times New Roman" w:cs="Times New Roman"/>
          <w:sz w:val="18"/>
          <w:szCs w:val="18"/>
        </w:rPr>
        <w:t>/</w:t>
      </w:r>
      <w:r w:rsidRPr="00EE391E">
        <w:rPr>
          <w:rFonts w:ascii="Times New Roman" w:hAnsi="Times New Roman" w:cs="Times New Roman"/>
          <w:sz w:val="18"/>
          <w:szCs w:val="18"/>
          <w:lang w:val="en-US"/>
        </w:rPr>
        <w:t>journal</w:t>
      </w:r>
      <w:r w:rsidRPr="00EE391E">
        <w:rPr>
          <w:rFonts w:ascii="Times New Roman" w:hAnsi="Times New Roman" w:cs="Times New Roman"/>
          <w:sz w:val="18"/>
          <w:szCs w:val="18"/>
        </w:rPr>
        <w:t>/2005/ 1212.</w:t>
      </w:r>
      <w:r w:rsidRPr="00EE391E">
        <w:rPr>
          <w:rFonts w:ascii="Times New Roman" w:hAnsi="Times New Roman" w:cs="Times New Roman"/>
          <w:sz w:val="18"/>
          <w:szCs w:val="18"/>
          <w:lang w:val="en-US"/>
        </w:rPr>
        <w:t>htm</w:t>
      </w:r>
    </w:p>
    <w:sectPr w:rsidR="00EE391E" w:rsidRPr="00EE391E" w:rsidSect="00883D88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A9"/>
    <w:rsid w:val="00236F47"/>
    <w:rsid w:val="00453173"/>
    <w:rsid w:val="0051479A"/>
    <w:rsid w:val="00593D4E"/>
    <w:rsid w:val="00823EA9"/>
    <w:rsid w:val="00883D88"/>
    <w:rsid w:val="008E32D8"/>
    <w:rsid w:val="009B2D11"/>
    <w:rsid w:val="00B4441B"/>
    <w:rsid w:val="00C6686F"/>
    <w:rsid w:val="00CA550C"/>
    <w:rsid w:val="00D66EC8"/>
    <w:rsid w:val="00EE391E"/>
    <w:rsid w:val="00F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2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rearticles.com/menedjment-ukr/292-modeli-kompetentnosti-menedzhera-turystychnoi-industr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1.rada.gov.ua/laws/show/1556-18/print1402759724905695" TargetMode="External"/><Relationship Id="rId5" Type="http://schemas.openxmlformats.org/officeDocument/2006/relationships/hyperlink" Target="http://www.rusnauka.com/7_NND_2009/Psihologia/42691.doc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Vovchok</dc:creator>
  <cp:keywords/>
  <dc:description/>
  <cp:lastModifiedBy>Vovchok</cp:lastModifiedBy>
  <cp:revision>10</cp:revision>
  <dcterms:created xsi:type="dcterms:W3CDTF">2016-11-07T21:39:00Z</dcterms:created>
  <dcterms:modified xsi:type="dcterms:W3CDTF">2017-09-26T20:53:00Z</dcterms:modified>
</cp:coreProperties>
</file>